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b/>
          <w:sz w:val="32"/>
          <w:szCs w:val="32"/>
        </w:rPr>
      </w:pPr>
    </w:p>
    <w:p>
      <w:pPr>
        <w:jc w:val="center"/>
        <w:rPr>
          <w:rFonts w:eastAsia="方正小标宋简体"/>
          <w:spacing w:val="20"/>
          <w:sz w:val="40"/>
          <w:szCs w:val="40"/>
        </w:rPr>
      </w:pPr>
      <w:r>
        <w:rPr>
          <w:rFonts w:hint="eastAsia" w:eastAsia="方正小标宋简体"/>
          <w:spacing w:val="20"/>
          <w:sz w:val="40"/>
          <w:szCs w:val="40"/>
          <w:lang w:eastAsia="zh-CN"/>
        </w:rPr>
        <w:t>惠州市科学技术局</w:t>
      </w:r>
      <w:r>
        <w:rPr>
          <w:rFonts w:eastAsia="方正小标宋简体"/>
          <w:spacing w:val="20"/>
          <w:sz w:val="40"/>
          <w:szCs w:val="40"/>
        </w:rPr>
        <w:t>文件清理</w:t>
      </w:r>
      <w:r>
        <w:rPr>
          <w:rFonts w:hint="eastAsia" w:eastAsia="方正小标宋简体"/>
          <w:spacing w:val="20"/>
          <w:sz w:val="40"/>
          <w:szCs w:val="40"/>
          <w:lang w:eastAsia="zh-CN"/>
        </w:rPr>
        <w:t>（宣布失效）</w:t>
      </w:r>
      <w:r>
        <w:rPr>
          <w:rFonts w:eastAsia="方正小标宋简体"/>
          <w:spacing w:val="20"/>
          <w:sz w:val="40"/>
          <w:szCs w:val="40"/>
        </w:rPr>
        <w:t>情况统计表（</w:t>
      </w:r>
      <w:r>
        <w:rPr>
          <w:rFonts w:hint="eastAsia" w:eastAsia="方正小标宋简体"/>
          <w:spacing w:val="20"/>
          <w:sz w:val="40"/>
          <w:szCs w:val="40"/>
        </w:rPr>
        <w:t>1988~2018年</w:t>
      </w:r>
      <w:r>
        <w:rPr>
          <w:rFonts w:eastAsia="方正小标宋简体"/>
          <w:spacing w:val="20"/>
          <w:sz w:val="40"/>
          <w:szCs w:val="40"/>
        </w:rPr>
        <w:t>）</w:t>
      </w:r>
    </w:p>
    <w:p>
      <w:pPr>
        <w:spacing w:line="240" w:lineRule="exact"/>
        <w:jc w:val="center"/>
        <w:rPr>
          <w:sz w:val="30"/>
          <w:szCs w:val="30"/>
        </w:rPr>
      </w:pPr>
    </w:p>
    <w:p>
      <w:pPr>
        <w:rPr>
          <w:rFonts w:eastAsia="楷体"/>
          <w:sz w:val="30"/>
          <w:szCs w:val="30"/>
        </w:rPr>
      </w:pPr>
      <w:r>
        <w:rPr>
          <w:rFonts w:eastAsia="楷体"/>
          <w:sz w:val="30"/>
          <w:szCs w:val="30"/>
        </w:rPr>
        <w:t xml:space="preserve">  </w:t>
      </w:r>
    </w:p>
    <w:tbl>
      <w:tblPr>
        <w:tblStyle w:val="7"/>
        <w:tblW w:w="10170" w:type="dxa"/>
        <w:jc w:val="center"/>
        <w:tblInd w:w="-13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448"/>
        <w:gridCol w:w="1418"/>
        <w:gridCol w:w="56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72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序号</w:t>
            </w:r>
          </w:p>
        </w:tc>
        <w:tc>
          <w:tcPr>
            <w:tcW w:w="2448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发文字号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发文时间</w:t>
            </w:r>
          </w:p>
        </w:tc>
        <w:tc>
          <w:tcPr>
            <w:tcW w:w="5632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7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2448" w:type="dxa"/>
            <w:vMerge w:val="continue"/>
          </w:tcPr>
          <w:p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563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</w:rPr>
              <w:t>惠市科字（90）6号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1990.1.13</w:t>
            </w:r>
          </w:p>
        </w:tc>
        <w:tc>
          <w:tcPr>
            <w:tcW w:w="5632" w:type="dxa"/>
          </w:tcPr>
          <w:p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</w:rPr>
              <w:t>《科技成果管理的实施办法（试行）的通知》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</w:rPr>
              <w:t>惠市科字（92）50号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1992.10.28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</w:rPr>
              <w:t>《关于鼓励科技人员兴办民科机构的暂行规定》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3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</w:rPr>
              <w:t>惠市科字（1996）7号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1996.3.25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</w:rPr>
              <w:t>《惠州市工程建设场地地震安全性评价工作管理办法》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4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惠市科字（2001）8号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2001.4.9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《惠州市工程技术研究开发中心暂行管理办法》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5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惠市科字（2003）20号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2003.5.28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《惠州市科学技术奖励办法实施细则（试行）》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6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惠市科字（2005）19号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2005.6.13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《惠州市科技型中小型企业技术创新基金管理办法（试行）》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7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惠市科字（2009）4号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2009.2.4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《惠州市科技局财政局应用技术研究开发资金管理暂行办法》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8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惠市科字（2009）56号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2009.11.9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《惠州市民营科技企业认定办法（暂行）》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9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惠市知字（2009）1号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2009.2.16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《惠州市知识产权局 财政局知识产权专项资金管理暂行办法》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10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</w:pPr>
            <w:r>
              <w:rPr>
                <w:rFonts w:hint="eastAsia"/>
              </w:rPr>
              <w:t>惠市科字（2011）80号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2011.7.26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</w:pPr>
            <w:r>
              <w:rPr>
                <w:rFonts w:hint="eastAsia"/>
              </w:rPr>
              <w:t>《惠州市科学技术局公务用车及交通费管理规定》（修订版）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11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</w:pPr>
            <w:r>
              <w:rPr>
                <w:rFonts w:hint="eastAsia"/>
              </w:rPr>
              <w:t>惠市科字（2011）126号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2011.12.26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</w:pPr>
            <w:r>
              <w:t>《惠州市产学研结合专项资金管理办法》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12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</w:pPr>
            <w:r>
              <w:rPr>
                <w:rFonts w:hint="eastAsia"/>
              </w:rPr>
              <w:t>2012年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2012.7.7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</w:pPr>
            <w:r>
              <w:rPr>
                <w:rFonts w:hint="eastAsia"/>
              </w:rPr>
              <w:t>《惠州市科学技术奖励办法实施细则》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13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惠市知字（2012）1号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2012.2.9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《惠州市知识产权局 财政局 关于推进惠州市专利工作实施意见的操作规程》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14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惠市知字（2012）10号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2012.4.12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</w:pPr>
            <w:r>
              <w:rPr>
                <w:rFonts w:hint="eastAsia"/>
              </w:rPr>
              <w:t>《惠州市科技局（知识产权局）专利行政处罚自由裁量基准制度实施办法》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15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</w:pPr>
            <w:r>
              <w:rPr>
                <w:rFonts w:hint="eastAsia"/>
              </w:rPr>
              <w:t>惠市科字（2013）137号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2013.12.18</w:t>
            </w:r>
          </w:p>
        </w:tc>
        <w:tc>
          <w:tcPr>
            <w:tcW w:w="5632" w:type="dxa"/>
            <w:tcBorders>
              <w:top w:val="nil"/>
            </w:tcBorders>
          </w:tcPr>
          <w:p>
            <w:pPr>
              <w:spacing w:line="280" w:lineRule="exact"/>
              <w:ind w:left="-61" w:leftChars="-29" w:right="-57" w:rightChars="-27"/>
            </w:pPr>
            <w:r>
              <w:t>《惠州市科学技术局（知识产权局、地震局）行政处罚自由裁量权的适用规则》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16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/>
              </w:rPr>
              <w:t>惠市知字（2014）5号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2014.4.9</w:t>
            </w:r>
          </w:p>
        </w:tc>
        <w:tc>
          <w:tcPr>
            <w:tcW w:w="5632" w:type="dxa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30"/>
                <w:szCs w:val="30"/>
              </w:rPr>
            </w:pPr>
            <w:r>
              <w:t>《惠州市知识产权局 惠州市财政局专利权质押融资贴息项目操作规程（试行）》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17</w:t>
            </w:r>
          </w:p>
        </w:tc>
        <w:tc>
          <w:tcPr>
            <w:tcW w:w="2448" w:type="dxa"/>
          </w:tcPr>
          <w:p>
            <w:pPr>
              <w:spacing w:line="280" w:lineRule="exact"/>
              <w:ind w:left="-61" w:leftChars="-29" w:right="-57" w:rightChars="-27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t>惠市科字〔2015〕79号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2015.6.16</w:t>
            </w:r>
          </w:p>
        </w:tc>
        <w:tc>
          <w:tcPr>
            <w:tcW w:w="5632" w:type="dxa"/>
          </w:tcPr>
          <w:p>
            <w:r>
              <w:t>《公共照明工程LED改造补贴发放办法》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18</w:t>
            </w:r>
          </w:p>
        </w:tc>
        <w:tc>
          <w:tcPr>
            <w:tcW w:w="2448" w:type="dxa"/>
          </w:tcPr>
          <w:p>
            <w:pPr>
              <w:jc w:val="left"/>
            </w:pPr>
            <w:r>
              <w:t>惠市科字〔2015〕126号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2015.9.18</w:t>
            </w:r>
          </w:p>
        </w:tc>
        <w:tc>
          <w:tcPr>
            <w:tcW w:w="5632" w:type="dxa"/>
          </w:tcPr>
          <w:p>
            <w:r>
              <w:t>《惠州市科学技术局 财政局关于国际科技合作专项资金管理暂行办法》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19</w:t>
            </w:r>
          </w:p>
        </w:tc>
        <w:tc>
          <w:tcPr>
            <w:tcW w:w="2448" w:type="dxa"/>
          </w:tcPr>
          <w:p>
            <w:pPr>
              <w:jc w:val="left"/>
            </w:pPr>
            <w:r>
              <w:t>惠市科字〔2015〕127号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2015.9.18</w:t>
            </w:r>
          </w:p>
        </w:tc>
        <w:tc>
          <w:tcPr>
            <w:tcW w:w="5632" w:type="dxa"/>
          </w:tcPr>
          <w:p>
            <w:r>
              <w:t>《惠州市科学技术局 财政局关于高新技术企业认定专项资助办法》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20</w:t>
            </w:r>
          </w:p>
        </w:tc>
        <w:tc>
          <w:tcPr>
            <w:tcW w:w="2448" w:type="dxa"/>
          </w:tcPr>
          <w:p>
            <w:pPr>
              <w:jc w:val="left"/>
            </w:pPr>
            <w:r>
              <w:t>惠市科字〔2015〕128号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2015.9.18</w:t>
            </w:r>
          </w:p>
        </w:tc>
        <w:tc>
          <w:tcPr>
            <w:tcW w:w="5632" w:type="dxa"/>
          </w:tcPr>
          <w:p>
            <w:r>
              <w:rPr>
                <w:rFonts w:hint="eastAsia"/>
              </w:rPr>
              <w:t>《惠州市科学技术局 财政局关于科技创新券后补助暂行办法》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21</w:t>
            </w:r>
          </w:p>
        </w:tc>
        <w:tc>
          <w:tcPr>
            <w:tcW w:w="2448" w:type="dxa"/>
          </w:tcPr>
          <w:p>
            <w:pPr>
              <w:jc w:val="left"/>
            </w:pPr>
            <w:r>
              <w:t>惠市知字〔2015〕1号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2015.3.18</w:t>
            </w:r>
          </w:p>
        </w:tc>
        <w:tc>
          <w:tcPr>
            <w:tcW w:w="5632" w:type="dxa"/>
          </w:tcPr>
          <w:p>
            <w:r>
              <w:t>《惠州市知识产权局  财政局&lt;关于推进惠州市专利工作实施意见的操作规程&gt;补充规定》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2" w:type="dxa"/>
            <w:vAlign w:val="center"/>
          </w:tcPr>
          <w:p>
            <w:pPr>
              <w:spacing w:line="280" w:lineRule="exact"/>
              <w:ind w:left="-61" w:leftChars="-29" w:right="-57" w:rightChars="-27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22</w:t>
            </w:r>
            <w:bookmarkStart w:id="0" w:name="_GoBack"/>
            <w:bookmarkEnd w:id="0"/>
          </w:p>
        </w:tc>
        <w:tc>
          <w:tcPr>
            <w:tcW w:w="2448" w:type="dxa"/>
          </w:tcPr>
          <w:p>
            <w:pPr>
              <w:jc w:val="left"/>
            </w:pPr>
            <w:r>
              <w:t>惠市科字〔2016〕7号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ind w:left="-61" w:leftChars="-29" w:right="-57" w:rightChars="-27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2016.1.12</w:t>
            </w:r>
          </w:p>
        </w:tc>
        <w:tc>
          <w:tcPr>
            <w:tcW w:w="5632" w:type="dxa"/>
          </w:tcPr>
          <w:p>
            <w:r>
              <w:t>《惠州市科学技术局（知识产权局）省内市外出差交通费管理暂行规定》</w:t>
            </w:r>
          </w:p>
        </w:tc>
      </w:tr>
    </w:tbl>
    <w:p/>
    <w:p>
      <w:pPr>
        <w:widowControl/>
        <w:jc w:val="left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00BA"/>
    <w:rsid w:val="0000670A"/>
    <w:rsid w:val="000177B3"/>
    <w:rsid w:val="00026CCE"/>
    <w:rsid w:val="00047F97"/>
    <w:rsid w:val="00076D08"/>
    <w:rsid w:val="000E7246"/>
    <w:rsid w:val="001A4C3E"/>
    <w:rsid w:val="001B5BB6"/>
    <w:rsid w:val="001D4CB6"/>
    <w:rsid w:val="001F4285"/>
    <w:rsid w:val="00200EB6"/>
    <w:rsid w:val="00237F94"/>
    <w:rsid w:val="002462DF"/>
    <w:rsid w:val="002500BA"/>
    <w:rsid w:val="0027662C"/>
    <w:rsid w:val="002B6004"/>
    <w:rsid w:val="002C70D2"/>
    <w:rsid w:val="0034494F"/>
    <w:rsid w:val="00344A52"/>
    <w:rsid w:val="003961A5"/>
    <w:rsid w:val="003A7CBC"/>
    <w:rsid w:val="00417F56"/>
    <w:rsid w:val="004233B9"/>
    <w:rsid w:val="004E4588"/>
    <w:rsid w:val="004F1979"/>
    <w:rsid w:val="004F731A"/>
    <w:rsid w:val="00542E91"/>
    <w:rsid w:val="00571571"/>
    <w:rsid w:val="005B4F41"/>
    <w:rsid w:val="005E606D"/>
    <w:rsid w:val="006427AE"/>
    <w:rsid w:val="006554C8"/>
    <w:rsid w:val="00710BCD"/>
    <w:rsid w:val="007C34A0"/>
    <w:rsid w:val="00805996"/>
    <w:rsid w:val="0085534B"/>
    <w:rsid w:val="008861AA"/>
    <w:rsid w:val="008C573E"/>
    <w:rsid w:val="009268A9"/>
    <w:rsid w:val="00944794"/>
    <w:rsid w:val="009B5E69"/>
    <w:rsid w:val="009C2D78"/>
    <w:rsid w:val="009C45A4"/>
    <w:rsid w:val="00A3763A"/>
    <w:rsid w:val="00A706DE"/>
    <w:rsid w:val="00AC0FA2"/>
    <w:rsid w:val="00B35C3B"/>
    <w:rsid w:val="00B70337"/>
    <w:rsid w:val="00C95F9B"/>
    <w:rsid w:val="00CC0F18"/>
    <w:rsid w:val="00CD429E"/>
    <w:rsid w:val="00D417CA"/>
    <w:rsid w:val="00D626BB"/>
    <w:rsid w:val="00D97675"/>
    <w:rsid w:val="00DD5830"/>
    <w:rsid w:val="00DF16D0"/>
    <w:rsid w:val="00E035AA"/>
    <w:rsid w:val="00E24BE1"/>
    <w:rsid w:val="00E9080F"/>
    <w:rsid w:val="00F934BD"/>
    <w:rsid w:val="4487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0"/>
    <w:rPr>
      <w:szCs w:val="20"/>
    </w:rPr>
  </w:style>
  <w:style w:type="character" w:customStyle="1" w:styleId="10">
    <w:name w:val="页脚 Char"/>
    <w:basedOn w:val="8"/>
    <w:link w:val="3"/>
    <w:uiPriority w:val="0"/>
    <w:rPr>
      <w:rFonts w:ascii="Times New Roman" w:hAnsi="Times New Roman" w:eastAsia="宋体" w:cs="Times New Roman"/>
      <w:sz w:val="18"/>
      <w:szCs w:val="24"/>
    </w:rPr>
  </w:style>
  <w:style w:type="paragraph" w:customStyle="1" w:styleId="11">
    <w:name w:val="Char"/>
    <w:basedOn w:val="1"/>
    <w:uiPriority w:val="0"/>
    <w:pPr>
      <w:keepNext/>
      <w:widowControl/>
      <w:spacing w:after="160" w:line="240" w:lineRule="exact"/>
      <w:ind w:firstLine="560" w:firstLineChars="200"/>
      <w:jc w:val="left"/>
    </w:pPr>
    <w:rPr>
      <w:szCs w:val="20"/>
    </w:rPr>
  </w:style>
  <w:style w:type="character" w:customStyle="1" w:styleId="12">
    <w:name w:val="页眉 Char"/>
    <w:basedOn w:val="8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Char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54F73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22720F-C11B-4378-952B-2AF1476621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384</Words>
  <Characters>2190</Characters>
  <Lines>18</Lines>
  <Paragraphs>5</Paragraphs>
  <TotalTime>385</TotalTime>
  <ScaleCrop>false</ScaleCrop>
  <LinksUpToDate>false</LinksUpToDate>
  <CharactersWithSpaces>2569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2018-11-30T01:20:00Z</dcterms:created>
  <dc:creator>钟参云</dc:creator>
  <cp:lastModifiedBy>中和至元</cp:lastModifiedBy>
  <cp:lastPrinted>2018-12-24T07:36:00Z</cp:lastPrinted>
  <dcterms:modified xsi:type="dcterms:W3CDTF">2019-04-12T01:57:50Z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