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71885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14:paraId="019CA5B4">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 w:hAnsi="仿宋" w:eastAsia="仿宋" w:cs="仿宋"/>
          <w:bCs/>
          <w:color w:val="auto"/>
          <w:sz w:val="44"/>
          <w:szCs w:val="44"/>
          <w:lang w:val="en-US" w:eastAsia="zh-CN"/>
        </w:rPr>
      </w:pPr>
    </w:p>
    <w:p w14:paraId="3C66FC7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eastAsia="zh-CN"/>
        </w:rPr>
      </w:pPr>
      <w:bookmarkStart w:id="2" w:name="_GoBack"/>
      <w:r>
        <w:rPr>
          <w:rFonts w:hint="eastAsia" w:ascii="方正小标宋简体" w:hAnsi="方正小标宋简体" w:eastAsia="方正小标宋简体" w:cs="方正小标宋简体"/>
          <w:i w:val="0"/>
          <w:caps w:val="0"/>
          <w:color w:val="000000"/>
          <w:spacing w:val="-6"/>
          <w:kern w:val="0"/>
          <w:sz w:val="44"/>
          <w:szCs w:val="44"/>
          <w:shd w:val="clear" w:color="auto" w:fill="FFFFFF"/>
          <w:lang w:val="en-US" w:eastAsia="zh-CN" w:bidi="ar"/>
        </w:rPr>
        <w:t>惠东县城镇建设用地</w:t>
      </w:r>
      <w:r>
        <w:rPr>
          <w:rFonts w:hint="eastAsia" w:ascii="方正小标宋简体" w:hAnsi="方正小标宋简体" w:eastAsia="方正小标宋简体" w:cs="方正小标宋简体"/>
          <w:b w:val="0"/>
          <w:bCs w:val="0"/>
          <w:sz w:val="44"/>
          <w:szCs w:val="44"/>
          <w:lang w:eastAsia="zh-CN"/>
        </w:rPr>
        <w:t>（</w:t>
      </w:r>
      <w:r>
        <w:rPr>
          <w:rFonts w:hint="eastAsia" w:ascii="方正小标宋简体" w:hAnsi="方正小标宋简体" w:eastAsia="方正小标宋简体" w:cs="方正小标宋简体"/>
          <w:b w:val="0"/>
          <w:bCs w:val="0"/>
          <w:sz w:val="44"/>
          <w:szCs w:val="44"/>
          <w:lang w:val="en-US" w:eastAsia="zh-CN"/>
        </w:rPr>
        <w:t>白花镇莆田村</w:t>
      </w:r>
      <w:r>
        <w:rPr>
          <w:rFonts w:hint="eastAsia" w:ascii="方正小标宋简体" w:hAnsi="方正小标宋简体" w:eastAsia="方正小标宋简体" w:cs="方正小标宋简体"/>
          <w:b w:val="0"/>
          <w:bCs w:val="0"/>
          <w:sz w:val="44"/>
          <w:szCs w:val="44"/>
          <w:lang w:eastAsia="zh-CN"/>
        </w:rPr>
        <w:t>地段</w:t>
      </w:r>
    </w:p>
    <w:p w14:paraId="261E3E1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color w:val="auto"/>
          <w:sz w:val="44"/>
          <w:szCs w:val="44"/>
          <w:lang w:val="en-US" w:eastAsia="zh-CN"/>
        </w:rPr>
        <w:t>9.7701</w:t>
      </w:r>
      <w:r>
        <w:rPr>
          <w:rFonts w:hint="eastAsia" w:ascii="方正小标宋简体" w:hAnsi="方正小标宋简体" w:eastAsia="方正小标宋简体" w:cs="方正小标宋简体"/>
          <w:b w:val="0"/>
          <w:bCs w:val="0"/>
          <w:sz w:val="44"/>
          <w:szCs w:val="44"/>
          <w:lang w:eastAsia="zh-CN"/>
        </w:rPr>
        <w:t>亩）项目</w:t>
      </w:r>
      <w:r>
        <w:rPr>
          <w:rFonts w:hint="eastAsia" w:ascii="方正小标宋简体" w:hAnsi="方正小标宋简体" w:eastAsia="方正小标宋简体" w:cs="方正小标宋简体"/>
          <w:b w:val="0"/>
          <w:bCs w:val="0"/>
          <w:sz w:val="44"/>
          <w:szCs w:val="44"/>
        </w:rPr>
        <w:t>征地补偿安置方案</w:t>
      </w:r>
      <w:bookmarkEnd w:id="2"/>
    </w:p>
    <w:p w14:paraId="3C0086DB">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ascii="Times New Roman" w:hAnsi="Times New Roman" w:eastAsia="黑体" w:cs="黑体"/>
          <w:b/>
          <w:bCs/>
          <w:color w:val="000000"/>
          <w:sz w:val="32"/>
          <w:szCs w:val="32"/>
        </w:rPr>
      </w:pPr>
    </w:p>
    <w:p w14:paraId="1A4F5BC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为了公共利益的需要，依据《中华人民共和国土地管理法》，经</w:t>
      </w:r>
      <w:r>
        <w:rPr>
          <w:rFonts w:hint="eastAsia" w:ascii="仿宋" w:hAnsi="仿宋" w:eastAsia="仿宋" w:cs="仿宋"/>
          <w:bCs/>
          <w:color w:val="auto"/>
          <w:sz w:val="32"/>
          <w:szCs w:val="32"/>
          <w:lang w:eastAsia="zh-CN"/>
        </w:rPr>
        <w:t>惠东县</w:t>
      </w:r>
      <w:r>
        <w:rPr>
          <w:rFonts w:hint="eastAsia" w:ascii="仿宋" w:hAnsi="仿宋" w:eastAsia="仿宋" w:cs="仿宋"/>
          <w:bCs/>
          <w:color w:val="auto"/>
          <w:sz w:val="32"/>
          <w:szCs w:val="32"/>
        </w:rPr>
        <w:t>人民政府研究，拟征收</w:t>
      </w:r>
      <w:r>
        <w:rPr>
          <w:rFonts w:hint="eastAsia" w:ascii="仿宋" w:hAnsi="仿宋" w:eastAsia="仿宋" w:cs="仿宋"/>
          <w:bCs/>
          <w:color w:val="auto"/>
          <w:sz w:val="32"/>
          <w:szCs w:val="32"/>
          <w:lang w:eastAsia="zh-CN"/>
        </w:rPr>
        <w:t>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rPr>
        <w:t>镇</w:t>
      </w:r>
      <w:r>
        <w:rPr>
          <w:rFonts w:hint="eastAsia" w:ascii="仿宋" w:hAnsi="仿宋" w:eastAsia="仿宋" w:cs="仿宋"/>
          <w:bCs/>
          <w:color w:val="auto"/>
          <w:sz w:val="32"/>
          <w:szCs w:val="32"/>
          <w:lang w:val="en-US" w:eastAsia="zh-CN"/>
        </w:rPr>
        <w:t>莆田村地段</w:t>
      </w:r>
      <w:r>
        <w:rPr>
          <w:rFonts w:hint="eastAsia" w:ascii="仿宋" w:hAnsi="仿宋" w:eastAsia="仿宋" w:cs="仿宋"/>
          <w:bCs/>
          <w:color w:val="auto"/>
          <w:sz w:val="32"/>
          <w:szCs w:val="32"/>
        </w:rPr>
        <w:t>的</w:t>
      </w:r>
      <w:r>
        <w:rPr>
          <w:rFonts w:hint="eastAsia" w:ascii="仿宋" w:hAnsi="仿宋" w:eastAsia="仿宋" w:cs="仿宋"/>
          <w:bCs/>
          <w:color w:val="auto"/>
          <w:sz w:val="32"/>
          <w:szCs w:val="32"/>
          <w:lang w:val="en-US" w:eastAsia="zh-CN"/>
        </w:rPr>
        <w:t>9.7701</w:t>
      </w:r>
      <w:r>
        <w:rPr>
          <w:rFonts w:hint="eastAsia" w:ascii="仿宋" w:hAnsi="仿宋" w:eastAsia="仿宋" w:cs="仿宋"/>
          <w:bCs/>
          <w:color w:val="auto"/>
          <w:sz w:val="32"/>
          <w:szCs w:val="32"/>
          <w:lang w:eastAsia="zh-CN"/>
        </w:rPr>
        <w:t>亩农村</w:t>
      </w:r>
      <w:r>
        <w:rPr>
          <w:rFonts w:hint="eastAsia" w:ascii="仿宋" w:hAnsi="仿宋" w:eastAsia="仿宋" w:cs="仿宋"/>
          <w:bCs/>
          <w:color w:val="auto"/>
          <w:sz w:val="32"/>
          <w:szCs w:val="32"/>
        </w:rPr>
        <w:t>集体土地。根据国家、省、市的相关法律、法规和我市的有关规定，结合土地现状调查结果，特制订本项目征地补偿安置方案如下：</w:t>
      </w:r>
    </w:p>
    <w:p w14:paraId="6AA7885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0" w:name="_Toc16733"/>
      <w:r>
        <w:rPr>
          <w:rFonts w:hint="default" w:ascii="黑体" w:hAnsi="黑体" w:eastAsia="黑体" w:cs="黑体"/>
          <w:b w:val="0"/>
          <w:bCs/>
          <w:color w:val="auto"/>
          <w:sz w:val="32"/>
          <w:szCs w:val="32"/>
        </w:rPr>
        <w:t>一、</w:t>
      </w:r>
      <w:bookmarkEnd w:id="0"/>
      <w:r>
        <w:rPr>
          <w:rFonts w:hint="default" w:ascii="黑体" w:hAnsi="黑体" w:eastAsia="黑体" w:cs="黑体"/>
          <w:b w:val="0"/>
          <w:bCs/>
          <w:color w:val="auto"/>
          <w:sz w:val="32"/>
          <w:szCs w:val="32"/>
        </w:rPr>
        <w:t>征收土地的位置、范围、权属、面积和现状</w:t>
      </w:r>
    </w:p>
    <w:p w14:paraId="75AFC9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拟征收土地位于</w:t>
      </w:r>
      <w:r>
        <w:rPr>
          <w:rFonts w:hint="eastAsia" w:ascii="仿宋" w:hAnsi="仿宋" w:eastAsia="仿宋" w:cs="仿宋"/>
          <w:bCs/>
          <w:color w:val="auto"/>
          <w:sz w:val="32"/>
          <w:szCs w:val="32"/>
          <w:lang w:val="en-US" w:eastAsia="zh-CN"/>
        </w:rPr>
        <w:t>白花</w:t>
      </w:r>
      <w:r>
        <w:rPr>
          <w:rFonts w:hint="eastAsia" w:ascii="仿宋" w:hAnsi="仿宋" w:eastAsia="仿宋" w:cs="仿宋"/>
          <w:bCs/>
          <w:color w:val="auto"/>
          <w:sz w:val="32"/>
          <w:szCs w:val="32"/>
          <w:lang w:eastAsia="zh-CN"/>
        </w:rPr>
        <w:t>镇</w:t>
      </w:r>
      <w:r>
        <w:rPr>
          <w:rFonts w:hint="eastAsia" w:ascii="仿宋" w:hAnsi="仿宋" w:eastAsia="仿宋" w:cs="仿宋"/>
          <w:bCs/>
          <w:color w:val="auto"/>
          <w:sz w:val="32"/>
          <w:szCs w:val="32"/>
          <w:lang w:val="en-US" w:eastAsia="zh-CN"/>
        </w:rPr>
        <w:t>莆田村地段</w:t>
      </w:r>
      <w:r>
        <w:rPr>
          <w:rFonts w:hint="eastAsia" w:ascii="仿宋" w:hAnsi="仿宋" w:eastAsia="仿宋" w:cs="仿宋"/>
          <w:bCs/>
          <w:color w:val="auto"/>
          <w:sz w:val="32"/>
          <w:szCs w:val="32"/>
        </w:rPr>
        <w:t>，属</w:t>
      </w:r>
      <w:r>
        <w:rPr>
          <w:rFonts w:hint="eastAsia" w:ascii="仿宋" w:hAnsi="仿宋" w:eastAsia="仿宋" w:cs="仿宋"/>
          <w:bCs/>
          <w:color w:val="auto"/>
          <w:sz w:val="32"/>
          <w:szCs w:val="32"/>
          <w:lang w:eastAsia="zh-CN"/>
        </w:rPr>
        <w:t>白花镇</w:t>
      </w:r>
      <w:r>
        <w:rPr>
          <w:rFonts w:hint="eastAsia" w:ascii="仿宋" w:hAnsi="仿宋" w:eastAsia="仿宋" w:cs="仿宋"/>
          <w:bCs/>
          <w:color w:val="auto"/>
          <w:sz w:val="32"/>
          <w:szCs w:val="32"/>
          <w:lang w:val="en-US" w:eastAsia="zh-CN"/>
        </w:rPr>
        <w:t>莆田村新一、</w:t>
      </w:r>
      <w:r>
        <w:rPr>
          <w:rFonts w:hint="eastAsia" w:ascii="仿宋" w:hAnsi="仿宋" w:eastAsia="仿宋" w:cs="仿宋"/>
          <w:i w:val="0"/>
          <w:caps w:val="0"/>
          <w:color w:val="000000"/>
          <w:spacing w:val="0"/>
          <w:kern w:val="0"/>
          <w:sz w:val="32"/>
          <w:szCs w:val="32"/>
          <w:highlight w:val="none"/>
          <w:shd w:val="clear" w:color="auto" w:fill="FFFFFF"/>
          <w:lang w:val="en-US" w:eastAsia="zh-CN" w:bidi="ar"/>
        </w:rPr>
        <w:t>新二</w:t>
      </w:r>
      <w:r>
        <w:rPr>
          <w:rFonts w:hint="eastAsia" w:ascii="仿宋" w:hAnsi="仿宋" w:eastAsia="仿宋" w:cs="仿宋"/>
          <w:bCs/>
          <w:color w:val="auto"/>
          <w:sz w:val="32"/>
          <w:szCs w:val="32"/>
          <w:lang w:val="en-US" w:eastAsia="zh-CN"/>
        </w:rPr>
        <w:t>经济合作社</w:t>
      </w:r>
      <w:r>
        <w:rPr>
          <w:rFonts w:hint="eastAsia" w:ascii="仿宋" w:hAnsi="仿宋" w:eastAsia="仿宋" w:cs="仿宋"/>
          <w:bCs/>
          <w:color w:val="auto"/>
          <w:sz w:val="32"/>
          <w:szCs w:val="32"/>
        </w:rPr>
        <w:t>所有的</w:t>
      </w:r>
      <w:r>
        <w:rPr>
          <w:rFonts w:hint="eastAsia" w:ascii="仿宋" w:hAnsi="仿宋" w:eastAsia="仿宋" w:cs="仿宋"/>
          <w:bCs/>
          <w:color w:val="auto"/>
          <w:sz w:val="32"/>
          <w:szCs w:val="32"/>
          <w:lang w:eastAsia="zh-CN"/>
        </w:rPr>
        <w:t>农村</w:t>
      </w:r>
      <w:r>
        <w:rPr>
          <w:rFonts w:hint="eastAsia" w:ascii="仿宋" w:hAnsi="仿宋" w:eastAsia="仿宋" w:cs="仿宋"/>
          <w:bCs/>
          <w:color w:val="auto"/>
          <w:sz w:val="32"/>
          <w:szCs w:val="32"/>
        </w:rPr>
        <w:t>集体土地，面积为</w:t>
      </w:r>
      <w:r>
        <w:rPr>
          <w:rFonts w:hint="eastAsia" w:ascii="仿宋" w:hAnsi="仿宋" w:eastAsia="仿宋" w:cs="仿宋"/>
          <w:bCs/>
          <w:color w:val="auto"/>
          <w:sz w:val="32"/>
          <w:szCs w:val="32"/>
          <w:lang w:val="en-US" w:eastAsia="zh-CN"/>
        </w:rPr>
        <w:t>9.7701</w:t>
      </w:r>
      <w:r>
        <w:rPr>
          <w:rFonts w:hint="eastAsia" w:ascii="仿宋" w:hAnsi="仿宋" w:eastAsia="仿宋" w:cs="仿宋"/>
          <w:bCs/>
          <w:color w:val="auto"/>
          <w:sz w:val="32"/>
          <w:szCs w:val="32"/>
          <w:lang w:eastAsia="zh-CN"/>
        </w:rPr>
        <w:t>亩</w:t>
      </w:r>
      <w:r>
        <w:rPr>
          <w:rFonts w:hint="eastAsia" w:ascii="仿宋" w:hAnsi="仿宋" w:eastAsia="仿宋" w:cs="仿宋"/>
          <w:bCs/>
          <w:color w:val="0000FF"/>
          <w:sz w:val="32"/>
          <w:szCs w:val="32"/>
        </w:rPr>
        <w:t>，</w:t>
      </w:r>
      <w:r>
        <w:rPr>
          <w:rFonts w:hint="eastAsia" w:ascii="仿宋" w:hAnsi="仿宋" w:eastAsia="仿宋" w:cs="仿宋"/>
          <w:bCs/>
          <w:color w:val="auto"/>
          <w:sz w:val="32"/>
          <w:szCs w:val="32"/>
          <w:lang w:val="en-US" w:eastAsia="zh-CN"/>
        </w:rPr>
        <w:t>均为</w:t>
      </w:r>
      <w:r>
        <w:rPr>
          <w:rFonts w:hint="eastAsia" w:ascii="仿宋" w:hAnsi="仿宋" w:eastAsia="仿宋" w:cs="仿宋"/>
          <w:bCs/>
          <w:color w:val="auto"/>
          <w:sz w:val="32"/>
          <w:szCs w:val="32"/>
          <w:lang w:eastAsia="zh-CN"/>
        </w:rPr>
        <w:t>农用地；</w:t>
      </w:r>
      <w:r>
        <w:rPr>
          <w:rFonts w:hint="eastAsia" w:ascii="仿宋" w:hAnsi="仿宋" w:eastAsia="仿宋" w:cs="仿宋"/>
          <w:bCs/>
          <w:color w:val="auto"/>
          <w:sz w:val="32"/>
          <w:szCs w:val="32"/>
          <w:u w:val="none"/>
          <w:lang w:val="en-US" w:eastAsia="zh-CN"/>
        </w:rPr>
        <w:t>四至范围详见附件《拟征收土地四至界线图》</w:t>
      </w:r>
      <w:r>
        <w:rPr>
          <w:rFonts w:hint="eastAsia" w:ascii="仿宋" w:hAnsi="仿宋" w:eastAsia="仿宋" w:cs="仿宋"/>
          <w:bCs/>
          <w:color w:val="auto"/>
          <w:sz w:val="32"/>
          <w:szCs w:val="32"/>
        </w:rPr>
        <w:t>。</w:t>
      </w:r>
    </w:p>
    <w:p w14:paraId="7B0FBC16">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bookmarkStart w:id="1" w:name="_Toc31854"/>
      <w:r>
        <w:rPr>
          <w:rFonts w:hint="default" w:ascii="黑体" w:hAnsi="黑体" w:eastAsia="黑体" w:cs="黑体"/>
          <w:b w:val="0"/>
          <w:bCs/>
          <w:color w:val="auto"/>
          <w:sz w:val="32"/>
          <w:szCs w:val="32"/>
        </w:rPr>
        <w:t>二、征收目的</w:t>
      </w:r>
    </w:p>
    <w:p w14:paraId="6D13768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本次拟征收土地用于惠东县城镇建设用地（</w:t>
      </w:r>
      <w:r>
        <w:rPr>
          <w:rFonts w:hint="eastAsia" w:ascii="仿宋" w:hAnsi="仿宋" w:eastAsia="仿宋" w:cs="仿宋"/>
          <w:bCs/>
          <w:color w:val="auto"/>
          <w:sz w:val="32"/>
          <w:szCs w:val="32"/>
          <w:lang w:val="en-US" w:eastAsia="zh-CN"/>
        </w:rPr>
        <w:t>白花镇莆田村</w:t>
      </w:r>
      <w:r>
        <w:rPr>
          <w:rFonts w:hint="eastAsia" w:ascii="仿宋" w:hAnsi="仿宋" w:eastAsia="仿宋" w:cs="仿宋"/>
          <w:bCs/>
          <w:color w:val="auto"/>
          <w:sz w:val="32"/>
          <w:szCs w:val="32"/>
          <w:lang w:eastAsia="zh-CN"/>
        </w:rPr>
        <w:t>地段</w:t>
      </w:r>
      <w:r>
        <w:rPr>
          <w:rFonts w:hint="eastAsia" w:ascii="仿宋" w:hAnsi="仿宋" w:eastAsia="仿宋" w:cs="仿宋"/>
          <w:bCs/>
          <w:color w:val="auto"/>
          <w:sz w:val="32"/>
          <w:szCs w:val="32"/>
          <w:lang w:val="en-US" w:eastAsia="zh-CN"/>
        </w:rPr>
        <w:t>9.7701</w:t>
      </w:r>
      <w:r>
        <w:rPr>
          <w:rFonts w:hint="eastAsia" w:ascii="仿宋" w:hAnsi="仿宋" w:eastAsia="仿宋" w:cs="仿宋"/>
          <w:bCs/>
          <w:color w:val="auto"/>
          <w:sz w:val="32"/>
          <w:szCs w:val="32"/>
        </w:rPr>
        <w:t>亩）项目建设。</w:t>
      </w:r>
    </w:p>
    <w:p w14:paraId="288556D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outlineLvl w:val="9"/>
        <w:rPr>
          <w:rFonts w:hint="default" w:ascii="黑体" w:hAnsi="黑体" w:eastAsia="黑体" w:cs="黑体"/>
          <w:b w:val="0"/>
          <w:bCs/>
          <w:color w:val="auto"/>
          <w:sz w:val="32"/>
          <w:szCs w:val="32"/>
        </w:rPr>
      </w:pPr>
      <w:r>
        <w:rPr>
          <w:rFonts w:hint="default" w:ascii="黑体" w:hAnsi="黑体" w:eastAsia="黑体" w:cs="黑体"/>
          <w:b w:val="0"/>
          <w:bCs/>
          <w:color w:val="auto"/>
          <w:sz w:val="32"/>
          <w:szCs w:val="32"/>
        </w:rPr>
        <w:t>三、</w:t>
      </w:r>
      <w:bookmarkEnd w:id="1"/>
      <w:r>
        <w:rPr>
          <w:rFonts w:hint="default" w:ascii="黑体" w:hAnsi="黑体" w:eastAsia="黑体" w:cs="黑体"/>
          <w:b w:val="0"/>
          <w:bCs/>
          <w:color w:val="auto"/>
          <w:sz w:val="32"/>
          <w:szCs w:val="32"/>
        </w:rPr>
        <w:t>征收土地补偿标准、安置方式和社会保障：</w:t>
      </w:r>
    </w:p>
    <w:p w14:paraId="485D4E9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一</w:t>
      </w:r>
      <w:r>
        <w:rPr>
          <w:rFonts w:hint="eastAsia" w:ascii="仿宋" w:hAnsi="仿宋" w:eastAsia="仿宋" w:cs="仿宋"/>
          <w:bCs/>
          <w:sz w:val="32"/>
          <w:szCs w:val="32"/>
          <w:lang w:eastAsia="zh-CN"/>
        </w:rPr>
        <w:t>）</w:t>
      </w:r>
      <w:r>
        <w:rPr>
          <w:rFonts w:hint="eastAsia" w:ascii="仿宋" w:hAnsi="仿宋" w:eastAsia="仿宋" w:cs="仿宋"/>
          <w:bCs/>
          <w:sz w:val="32"/>
          <w:szCs w:val="32"/>
        </w:rPr>
        <w:t>本次征地实行区片综合地价补偿，具体补偿标准如下：</w:t>
      </w:r>
    </w:p>
    <w:p w14:paraId="0D88CA8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宋体" w:cs="Times New Roman"/>
          <w:kern w:val="2"/>
          <w:sz w:val="32"/>
          <w:szCs w:val="32"/>
          <w:lang w:val="en-US" w:eastAsia="zh-CN" w:bidi="ar-SA"/>
        </w:rPr>
      </w:pPr>
    </w:p>
    <w:p w14:paraId="27522013">
      <w:pPr>
        <w:pStyle w:val="2"/>
        <w:rPr>
          <w:rFonts w:hint="eastAsia"/>
          <w:lang w:val="en-US" w:eastAsia="zh-CN"/>
        </w:rPr>
      </w:pPr>
    </w:p>
    <w:p w14:paraId="61285D9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宋体" w:cs="Times New Roman"/>
          <w:kern w:val="2"/>
          <w:sz w:val="32"/>
          <w:szCs w:val="32"/>
          <w:lang w:val="en-US" w:eastAsia="zh-CN" w:bidi="ar-SA"/>
        </w:rPr>
      </w:pPr>
    </w:p>
    <w:tbl>
      <w:tblPr>
        <w:tblStyle w:val="4"/>
        <w:tblpPr w:leftFromText="180" w:rightFromText="180" w:vertAnchor="text" w:horzAnchor="page" w:tblpX="1398" w:tblpY="-153"/>
        <w:tblOverlap w:val="never"/>
        <w:tblW w:w="95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31"/>
        <w:gridCol w:w="1467"/>
        <w:gridCol w:w="1364"/>
        <w:gridCol w:w="1704"/>
        <w:gridCol w:w="1620"/>
        <w:gridCol w:w="1470"/>
      </w:tblGrid>
      <w:tr w14:paraId="7D211F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9" w:hRule="atLeast"/>
          <w:tblHeader/>
          <w:jc w:val="center"/>
        </w:trPr>
        <w:tc>
          <w:tcPr>
            <w:tcW w:w="1931" w:type="dxa"/>
            <w:vMerge w:val="restart"/>
            <w:tcBorders>
              <w:tl2br w:val="nil"/>
              <w:tr2bl w:val="nil"/>
            </w:tcBorders>
            <w:noWrap w:val="0"/>
            <w:vAlign w:val="center"/>
          </w:tcPr>
          <w:p w14:paraId="72BBB8BC">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w:t>
            </w:r>
          </w:p>
          <w:p w14:paraId="67D8AF8E">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集体经济</w:t>
            </w:r>
          </w:p>
          <w:p w14:paraId="68732945">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组织</w:t>
            </w:r>
          </w:p>
        </w:tc>
        <w:tc>
          <w:tcPr>
            <w:tcW w:w="1467" w:type="dxa"/>
            <w:vMerge w:val="restart"/>
            <w:tcBorders>
              <w:tl2br w:val="nil"/>
              <w:tr2bl w:val="nil"/>
            </w:tcBorders>
            <w:noWrap w:val="0"/>
            <w:vAlign w:val="center"/>
          </w:tcPr>
          <w:p w14:paraId="2B95AD85">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14:paraId="0CF7206A">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名称</w:t>
            </w:r>
          </w:p>
        </w:tc>
        <w:tc>
          <w:tcPr>
            <w:tcW w:w="1364" w:type="dxa"/>
            <w:vMerge w:val="restart"/>
            <w:tcBorders>
              <w:tl2br w:val="nil"/>
              <w:tr2bl w:val="nil"/>
            </w:tcBorders>
            <w:noWrap w:val="0"/>
            <w:vAlign w:val="center"/>
          </w:tcPr>
          <w:p w14:paraId="0514F337">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土地</w:t>
            </w:r>
          </w:p>
          <w:p w14:paraId="1A8E88EA">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面积</w:t>
            </w:r>
          </w:p>
          <w:p w14:paraId="7DB6D1EC">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color w:val="000000"/>
                <w:kern w:val="0"/>
                <w:sz w:val="30"/>
                <w:szCs w:val="30"/>
                <w:lang w:bidi="ar"/>
              </w:rPr>
              <w:t>（亩）</w:t>
            </w:r>
          </w:p>
        </w:tc>
        <w:tc>
          <w:tcPr>
            <w:tcW w:w="3324" w:type="dxa"/>
            <w:gridSpan w:val="2"/>
            <w:tcBorders>
              <w:tl2br w:val="nil"/>
              <w:tr2bl w:val="nil"/>
            </w:tcBorders>
            <w:noWrap w:val="0"/>
            <w:vAlign w:val="center"/>
          </w:tcPr>
          <w:p w14:paraId="551642B3">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14:paraId="2A1A7971">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rPr>
              <w:t>综合地价</w:t>
            </w:r>
          </w:p>
        </w:tc>
        <w:tc>
          <w:tcPr>
            <w:tcW w:w="1470" w:type="dxa"/>
            <w:vMerge w:val="restart"/>
            <w:tcBorders>
              <w:tl2br w:val="nil"/>
              <w:tr2bl w:val="nil"/>
            </w:tcBorders>
            <w:noWrap w:val="0"/>
            <w:vAlign w:val="center"/>
          </w:tcPr>
          <w:p w14:paraId="52107902">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征地</w:t>
            </w:r>
          </w:p>
          <w:p w14:paraId="6676445C">
            <w:pPr>
              <w:keepNext w:val="0"/>
              <w:keepLines w:val="0"/>
              <w:pageBreakBefore w:val="0"/>
              <w:widowControl/>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t>补偿费</w:t>
            </w:r>
          </w:p>
          <w:p w14:paraId="4CFA9AD3">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r>
              <w:rPr>
                <w:rFonts w:hint="eastAsia" w:ascii="仿宋" w:hAnsi="仿宋" w:eastAsia="仿宋" w:cs="仿宋"/>
                <w:b/>
                <w:bCs/>
                <w:sz w:val="30"/>
                <w:szCs w:val="30"/>
                <w:lang w:eastAsia="zh-CN"/>
              </w:rPr>
              <w:t>（万元）</w:t>
            </w:r>
          </w:p>
        </w:tc>
      </w:tr>
      <w:tr w14:paraId="19A03B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3" w:hRule="atLeast"/>
          <w:tblHeader/>
          <w:jc w:val="center"/>
        </w:trPr>
        <w:tc>
          <w:tcPr>
            <w:tcW w:w="1931" w:type="dxa"/>
            <w:vMerge w:val="continue"/>
            <w:tcBorders>
              <w:tl2br w:val="nil"/>
              <w:tr2bl w:val="nil"/>
            </w:tcBorders>
            <w:noWrap w:val="0"/>
            <w:vAlign w:val="center"/>
          </w:tcPr>
          <w:p w14:paraId="32B146F3">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467" w:type="dxa"/>
            <w:vMerge w:val="continue"/>
            <w:tcBorders>
              <w:tl2br w:val="nil"/>
              <w:tr2bl w:val="nil"/>
            </w:tcBorders>
            <w:noWrap w:val="0"/>
            <w:vAlign w:val="center"/>
          </w:tcPr>
          <w:p w14:paraId="1995376F">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364" w:type="dxa"/>
            <w:vMerge w:val="continue"/>
            <w:tcBorders>
              <w:tl2br w:val="nil"/>
              <w:tr2bl w:val="nil"/>
            </w:tcBorders>
            <w:noWrap w:val="0"/>
            <w:vAlign w:val="center"/>
          </w:tcPr>
          <w:p w14:paraId="7085FA3A">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center"/>
              <w:rPr>
                <w:rFonts w:hint="eastAsia" w:ascii="仿宋" w:hAnsi="仿宋" w:eastAsia="仿宋" w:cs="仿宋"/>
                <w:b/>
                <w:bCs/>
                <w:color w:val="000000"/>
                <w:sz w:val="30"/>
                <w:szCs w:val="30"/>
              </w:rPr>
            </w:pPr>
          </w:p>
        </w:tc>
        <w:tc>
          <w:tcPr>
            <w:tcW w:w="1704" w:type="dxa"/>
            <w:tcBorders>
              <w:tl2br w:val="nil"/>
              <w:tr2bl w:val="nil"/>
            </w:tcBorders>
            <w:noWrap w:val="0"/>
            <w:vAlign w:val="center"/>
          </w:tcPr>
          <w:p w14:paraId="3E3354FA">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土地</w:t>
            </w:r>
          </w:p>
          <w:p w14:paraId="2B9E898D">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补偿费</w:t>
            </w:r>
          </w:p>
          <w:p w14:paraId="5FF2278A">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color w:val="000000"/>
                <w:kern w:val="0"/>
                <w:sz w:val="30"/>
                <w:szCs w:val="30"/>
                <w:lang w:bidi="ar"/>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620" w:type="dxa"/>
            <w:tcBorders>
              <w:tl2br w:val="nil"/>
              <w:tr2bl w:val="nil"/>
            </w:tcBorders>
            <w:noWrap w:val="0"/>
            <w:vAlign w:val="center"/>
          </w:tcPr>
          <w:p w14:paraId="1D845BAF">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安置</w:t>
            </w:r>
          </w:p>
          <w:p w14:paraId="62FAD39C">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补助费</w:t>
            </w:r>
          </w:p>
          <w:p w14:paraId="78BA2DEB">
            <w:pPr>
              <w:keepNext w:val="0"/>
              <w:keepLines w:val="0"/>
              <w:pageBreakBefore w:val="0"/>
              <w:widowControl/>
              <w:kinsoku/>
              <w:wordWrap/>
              <w:overflowPunct/>
              <w:topLinePunct w:val="0"/>
              <w:autoSpaceDE/>
              <w:autoSpaceDN/>
              <w:bidi w:val="0"/>
              <w:adjustRightInd/>
              <w:snapToGrid w:val="0"/>
              <w:spacing w:line="400" w:lineRule="exact"/>
              <w:jc w:val="center"/>
              <w:textAlignment w:val="auto"/>
              <w:outlineLvl w:val="9"/>
              <w:rPr>
                <w:rFonts w:ascii="Times New Roman" w:hAnsi="Times New Roman" w:eastAsia="宋体" w:cs="Times New Roman"/>
                <w:sz w:val="30"/>
                <w:szCs w:val="30"/>
              </w:rPr>
            </w:pP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470" w:type="dxa"/>
            <w:vMerge w:val="continue"/>
            <w:tcBorders>
              <w:tl2br w:val="nil"/>
              <w:tr2bl w:val="nil"/>
            </w:tcBorders>
            <w:noWrap w:val="0"/>
            <w:vAlign w:val="center"/>
          </w:tcPr>
          <w:p w14:paraId="3FCF2BB8">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b/>
                <w:bCs/>
                <w:color w:val="000000"/>
                <w:sz w:val="30"/>
                <w:szCs w:val="30"/>
              </w:rPr>
            </w:pPr>
          </w:p>
        </w:tc>
      </w:tr>
      <w:tr w14:paraId="085267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63" w:hRule="exact"/>
          <w:jc w:val="center"/>
        </w:trPr>
        <w:tc>
          <w:tcPr>
            <w:tcW w:w="1931" w:type="dxa"/>
            <w:tcBorders>
              <w:tl2br w:val="nil"/>
              <w:tr2bl w:val="nil"/>
            </w:tcBorders>
            <w:noWrap w:val="0"/>
            <w:vAlign w:val="center"/>
          </w:tcPr>
          <w:p w14:paraId="081184A7">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000000"/>
                <w:kern w:val="0"/>
                <w:sz w:val="28"/>
                <w:szCs w:val="28"/>
                <w:lang w:bidi="ar"/>
              </w:rPr>
            </w:pPr>
            <w:r>
              <w:rPr>
                <w:rFonts w:hint="eastAsia" w:ascii="仿宋" w:hAnsi="仿宋" w:eastAsia="仿宋" w:cs="仿宋"/>
                <w:i w:val="0"/>
                <w:caps w:val="0"/>
                <w:color w:val="000000"/>
                <w:spacing w:val="0"/>
                <w:kern w:val="0"/>
                <w:sz w:val="32"/>
                <w:szCs w:val="32"/>
                <w:highlight w:val="none"/>
                <w:shd w:val="clear" w:color="auto" w:fill="FFFFFF"/>
                <w:lang w:val="en-US" w:eastAsia="zh-CN" w:bidi="ar"/>
              </w:rPr>
              <w:t>白花镇莆田村新一经济合作社</w:t>
            </w:r>
          </w:p>
        </w:tc>
        <w:tc>
          <w:tcPr>
            <w:tcW w:w="1467" w:type="dxa"/>
            <w:tcBorders>
              <w:tl2br w:val="nil"/>
              <w:tr2bl w:val="nil"/>
            </w:tcBorders>
            <w:noWrap w:val="0"/>
            <w:vAlign w:val="center"/>
          </w:tcPr>
          <w:p w14:paraId="434C04C6">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auto"/>
                <w:sz w:val="28"/>
                <w:szCs w:val="28"/>
                <w:lang w:eastAsia="zh-CN"/>
              </w:rPr>
            </w:pPr>
            <w:r>
              <w:rPr>
                <w:rFonts w:hint="eastAsia" w:ascii="仿宋" w:hAnsi="仿宋" w:eastAsia="仿宋" w:cs="仿宋"/>
                <w:b w:val="0"/>
                <w:bCs w:val="0"/>
                <w:color w:val="000000"/>
                <w:sz w:val="32"/>
                <w:szCs w:val="32"/>
                <w:lang w:eastAsia="zh-CN"/>
              </w:rPr>
              <w:t>农用地</w:t>
            </w:r>
          </w:p>
        </w:tc>
        <w:tc>
          <w:tcPr>
            <w:tcW w:w="1364" w:type="dxa"/>
            <w:tcBorders>
              <w:tl2br w:val="nil"/>
              <w:tr2bl w:val="nil"/>
            </w:tcBorders>
            <w:noWrap w:val="0"/>
            <w:vAlign w:val="center"/>
          </w:tcPr>
          <w:p w14:paraId="297F4766">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 w:val="0"/>
                <w:bCs w:val="0"/>
                <w:sz w:val="32"/>
                <w:szCs w:val="32"/>
                <w:lang w:val="en-US" w:eastAsia="zh-CN"/>
              </w:rPr>
              <w:t>4.8851</w:t>
            </w:r>
          </w:p>
        </w:tc>
        <w:tc>
          <w:tcPr>
            <w:tcW w:w="1704" w:type="dxa"/>
            <w:tcBorders>
              <w:tl2br w:val="nil"/>
              <w:tr2bl w:val="nil"/>
            </w:tcBorders>
            <w:noWrap w:val="0"/>
            <w:vAlign w:val="center"/>
          </w:tcPr>
          <w:p w14:paraId="4663C98C">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Times New Roman" w:hAnsi="Times New Roman" w:eastAsia="仿宋_GB2312" w:cs="Times New Roman"/>
                <w:b w:val="0"/>
                <w:bCs w:val="0"/>
                <w:sz w:val="30"/>
                <w:szCs w:val="30"/>
                <w:lang w:val="en-US" w:eastAsia="zh-CN"/>
              </w:rPr>
              <w:t>2.6</w:t>
            </w:r>
          </w:p>
        </w:tc>
        <w:tc>
          <w:tcPr>
            <w:tcW w:w="1620" w:type="dxa"/>
            <w:tcBorders>
              <w:tl2br w:val="nil"/>
              <w:tr2bl w:val="nil"/>
            </w:tcBorders>
            <w:noWrap w:val="0"/>
            <w:vAlign w:val="center"/>
          </w:tcPr>
          <w:p w14:paraId="6747F27F">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Times New Roman" w:hAnsi="Times New Roman" w:eastAsia="仿宋_GB2312" w:cs="Times New Roman"/>
                <w:b w:val="0"/>
                <w:bCs w:val="0"/>
                <w:sz w:val="30"/>
                <w:szCs w:val="30"/>
                <w:lang w:val="en-US" w:eastAsia="zh-CN"/>
              </w:rPr>
              <w:t>3.9</w:t>
            </w:r>
          </w:p>
        </w:tc>
        <w:tc>
          <w:tcPr>
            <w:tcW w:w="1470" w:type="dxa"/>
            <w:tcBorders>
              <w:tl2br w:val="nil"/>
              <w:tr2bl w:val="nil"/>
            </w:tcBorders>
            <w:noWrap w:val="0"/>
            <w:vAlign w:val="center"/>
          </w:tcPr>
          <w:p w14:paraId="0F99C7C1">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color w:val="000000"/>
                <w:kern w:val="0"/>
                <w:sz w:val="30"/>
                <w:szCs w:val="30"/>
                <w:lang w:val="en-US" w:eastAsia="zh-CN" w:bidi="ar"/>
              </w:rPr>
            </w:pPr>
            <w:r>
              <w:rPr>
                <w:rFonts w:hint="eastAsia" w:ascii="仿宋" w:hAnsi="仿宋" w:eastAsia="仿宋" w:cs="仿宋"/>
                <w:b w:val="0"/>
                <w:bCs w:val="0"/>
                <w:sz w:val="32"/>
                <w:szCs w:val="32"/>
                <w:lang w:val="en-US" w:eastAsia="zh-CN"/>
              </w:rPr>
              <w:t>31.7532</w:t>
            </w:r>
          </w:p>
        </w:tc>
      </w:tr>
      <w:tr w14:paraId="7F6BE7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75" w:hRule="exact"/>
          <w:jc w:val="center"/>
        </w:trPr>
        <w:tc>
          <w:tcPr>
            <w:tcW w:w="1931" w:type="dxa"/>
            <w:tcBorders>
              <w:tl2br w:val="nil"/>
              <w:tr2bl w:val="nil"/>
            </w:tcBorders>
            <w:noWrap w:val="0"/>
            <w:vAlign w:val="center"/>
          </w:tcPr>
          <w:p w14:paraId="3BCCEF41">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auto"/>
                <w:sz w:val="28"/>
                <w:szCs w:val="28"/>
                <w:lang w:eastAsia="zh-CN"/>
              </w:rPr>
            </w:pPr>
            <w:r>
              <w:rPr>
                <w:rFonts w:hint="eastAsia" w:ascii="仿宋" w:hAnsi="仿宋" w:eastAsia="仿宋" w:cs="仿宋"/>
                <w:i w:val="0"/>
                <w:caps w:val="0"/>
                <w:color w:val="000000"/>
                <w:spacing w:val="0"/>
                <w:kern w:val="0"/>
                <w:sz w:val="32"/>
                <w:szCs w:val="32"/>
                <w:highlight w:val="none"/>
                <w:shd w:val="clear" w:color="auto" w:fill="FFFFFF"/>
                <w:lang w:val="en-US" w:eastAsia="zh-CN" w:bidi="ar"/>
              </w:rPr>
              <w:t>白花镇莆田村新二经济合作社</w:t>
            </w:r>
          </w:p>
        </w:tc>
        <w:tc>
          <w:tcPr>
            <w:tcW w:w="1467" w:type="dxa"/>
            <w:tcBorders>
              <w:tl2br w:val="nil"/>
              <w:tr2bl w:val="nil"/>
            </w:tcBorders>
            <w:noWrap w:val="0"/>
            <w:vAlign w:val="center"/>
          </w:tcPr>
          <w:p w14:paraId="22E2A8C2">
            <w:pPr>
              <w:keepNext w:val="0"/>
              <w:keepLines w:val="0"/>
              <w:pageBreakBefore w:val="0"/>
              <w:widowControl/>
              <w:kinsoku/>
              <w:wordWrap/>
              <w:overflowPunct/>
              <w:topLinePunct w:val="0"/>
              <w:autoSpaceDE/>
              <w:autoSpaceDN/>
              <w:bidi w:val="0"/>
              <w:adjustRightInd/>
              <w:snapToGrid/>
              <w:spacing w:line="520" w:lineRule="exact"/>
              <w:ind w:left="0" w:leftChars="0" w:right="0" w:rightChars="0"/>
              <w:jc w:val="center"/>
              <w:textAlignment w:val="center"/>
              <w:rPr>
                <w:rFonts w:hint="eastAsia" w:ascii="仿宋" w:hAnsi="仿宋" w:eastAsia="仿宋" w:cs="仿宋"/>
                <w:color w:val="auto"/>
                <w:sz w:val="28"/>
                <w:szCs w:val="28"/>
                <w:lang w:eastAsia="zh-CN"/>
              </w:rPr>
            </w:pPr>
            <w:r>
              <w:rPr>
                <w:rFonts w:hint="eastAsia" w:ascii="仿宋" w:hAnsi="仿宋" w:eastAsia="仿宋" w:cs="仿宋"/>
                <w:b w:val="0"/>
                <w:bCs w:val="0"/>
                <w:color w:val="000000"/>
                <w:sz w:val="32"/>
                <w:szCs w:val="32"/>
                <w:lang w:eastAsia="zh-CN"/>
              </w:rPr>
              <w:t>农用地</w:t>
            </w:r>
          </w:p>
        </w:tc>
        <w:tc>
          <w:tcPr>
            <w:tcW w:w="1364" w:type="dxa"/>
            <w:tcBorders>
              <w:tl2br w:val="nil"/>
              <w:tr2bl w:val="nil"/>
            </w:tcBorders>
            <w:noWrap w:val="0"/>
            <w:vAlign w:val="center"/>
          </w:tcPr>
          <w:p w14:paraId="4BB4B1E8">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仿宋" w:hAnsi="仿宋" w:eastAsia="仿宋" w:cs="仿宋"/>
                <w:b w:val="0"/>
                <w:bCs w:val="0"/>
                <w:sz w:val="32"/>
                <w:szCs w:val="32"/>
                <w:lang w:val="en-US" w:eastAsia="zh-CN"/>
              </w:rPr>
              <w:t>4.8850</w:t>
            </w:r>
          </w:p>
        </w:tc>
        <w:tc>
          <w:tcPr>
            <w:tcW w:w="1704" w:type="dxa"/>
            <w:tcBorders>
              <w:tl2br w:val="nil"/>
              <w:tr2bl w:val="nil"/>
            </w:tcBorders>
            <w:noWrap w:val="0"/>
            <w:vAlign w:val="center"/>
          </w:tcPr>
          <w:p w14:paraId="3D6AED75">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Times New Roman" w:hAnsi="Times New Roman" w:eastAsia="仿宋_GB2312" w:cs="Times New Roman"/>
                <w:b w:val="0"/>
                <w:bCs w:val="0"/>
                <w:sz w:val="30"/>
                <w:szCs w:val="30"/>
                <w:lang w:val="en-US" w:eastAsia="zh-CN"/>
              </w:rPr>
              <w:t>2.6</w:t>
            </w:r>
          </w:p>
        </w:tc>
        <w:tc>
          <w:tcPr>
            <w:tcW w:w="1620" w:type="dxa"/>
            <w:tcBorders>
              <w:tl2br w:val="nil"/>
              <w:tr2bl w:val="nil"/>
            </w:tcBorders>
            <w:noWrap w:val="0"/>
            <w:vAlign w:val="center"/>
          </w:tcPr>
          <w:p w14:paraId="39AF704D">
            <w:pPr>
              <w:keepNext w:val="0"/>
              <w:keepLines w:val="0"/>
              <w:pageBreakBefore w:val="0"/>
              <w:kinsoku/>
              <w:wordWrap/>
              <w:overflowPunct/>
              <w:topLinePunct w:val="0"/>
              <w:autoSpaceDE/>
              <w:autoSpaceDN/>
              <w:bidi w:val="0"/>
              <w:adjustRightInd/>
              <w:snapToGrid w:val="0"/>
              <w:spacing w:line="540" w:lineRule="exact"/>
              <w:jc w:val="center"/>
              <w:textAlignment w:val="auto"/>
              <w:outlineLvl w:val="9"/>
              <w:rPr>
                <w:rFonts w:hint="eastAsia" w:ascii="仿宋" w:hAnsi="仿宋" w:eastAsia="仿宋" w:cs="仿宋"/>
                <w:bCs/>
                <w:sz w:val="30"/>
                <w:szCs w:val="30"/>
                <w:highlight w:val="none"/>
                <w:u w:val="none"/>
                <w:lang w:val="en-US" w:eastAsia="zh-CN"/>
              </w:rPr>
            </w:pPr>
            <w:r>
              <w:rPr>
                <w:rFonts w:hint="eastAsia" w:ascii="Times New Roman" w:hAnsi="Times New Roman" w:eastAsia="仿宋_GB2312" w:cs="Times New Roman"/>
                <w:b w:val="0"/>
                <w:bCs w:val="0"/>
                <w:sz w:val="30"/>
                <w:szCs w:val="30"/>
                <w:lang w:val="en-US" w:eastAsia="zh-CN"/>
              </w:rPr>
              <w:t>3.9</w:t>
            </w:r>
          </w:p>
        </w:tc>
        <w:tc>
          <w:tcPr>
            <w:tcW w:w="1470" w:type="dxa"/>
            <w:tcBorders>
              <w:tl2br w:val="nil"/>
              <w:tr2bl w:val="nil"/>
            </w:tcBorders>
            <w:noWrap w:val="0"/>
            <w:vAlign w:val="center"/>
          </w:tcPr>
          <w:p w14:paraId="74410334">
            <w:pPr>
              <w:keepNext w:val="0"/>
              <w:keepLines w:val="0"/>
              <w:pageBreakBefore w:val="0"/>
              <w:kinsoku/>
              <w:wordWrap/>
              <w:overflowPunct/>
              <w:topLinePunct w:val="0"/>
              <w:autoSpaceDE/>
              <w:autoSpaceDN/>
              <w:bidi w:val="0"/>
              <w:adjustRightInd/>
              <w:snapToGrid w:val="0"/>
              <w:spacing w:line="460" w:lineRule="exact"/>
              <w:jc w:val="center"/>
              <w:textAlignment w:val="auto"/>
              <w:outlineLvl w:val="9"/>
              <w:rPr>
                <w:rFonts w:hint="eastAsia" w:ascii="仿宋" w:hAnsi="仿宋" w:eastAsia="仿宋" w:cs="仿宋"/>
                <w:color w:val="000000"/>
                <w:kern w:val="0"/>
                <w:sz w:val="30"/>
                <w:szCs w:val="30"/>
                <w:lang w:val="en-US" w:eastAsia="zh-CN" w:bidi="ar"/>
              </w:rPr>
            </w:pPr>
            <w:r>
              <w:rPr>
                <w:rFonts w:hint="eastAsia" w:ascii="仿宋" w:hAnsi="仿宋" w:eastAsia="仿宋" w:cs="仿宋"/>
                <w:b w:val="0"/>
                <w:bCs w:val="0"/>
                <w:sz w:val="32"/>
                <w:szCs w:val="32"/>
                <w:lang w:val="en-US" w:eastAsia="zh-CN"/>
              </w:rPr>
              <w:t>31.7525</w:t>
            </w:r>
          </w:p>
        </w:tc>
      </w:tr>
    </w:tbl>
    <w:p w14:paraId="1180BF4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 w:cs="仿宋"/>
          <w:bCs/>
          <w:color w:val="000000"/>
          <w:sz w:val="32"/>
          <w:szCs w:val="32"/>
          <w:lang w:val="en-US" w:eastAsia="zh-CN"/>
        </w:rPr>
      </w:pPr>
      <w:r>
        <w:rPr>
          <w:rFonts w:hint="eastAsia" w:ascii="Times New Roman" w:hAnsi="Times New Roman" w:eastAsia="仿宋" w:cs="仿宋"/>
          <w:bCs/>
          <w:color w:val="000000"/>
          <w:sz w:val="32"/>
          <w:szCs w:val="32"/>
          <w:lang w:val="en-US" w:eastAsia="zh-CN"/>
        </w:rPr>
        <w:t>（二）住宅、其他地上附着物和青苗补偿费按惠州市人民政府关于印发《惠州市集体土地征收与补偿办法》的通知（惠府〔2021〕27号）规定的标准进行核算。</w:t>
      </w:r>
    </w:p>
    <w:p w14:paraId="1F919966">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仿宋" w:cs="仿宋"/>
          <w:color w:val="000000"/>
          <w:sz w:val="32"/>
          <w:szCs w:val="32"/>
        </w:rPr>
      </w:pPr>
      <w:r>
        <w:rPr>
          <w:rFonts w:hint="eastAsia" w:ascii="Times New Roman" w:hAnsi="Times New Roman" w:eastAsia="仿宋" w:cs="仿宋"/>
          <w:bCs/>
          <w:color w:val="000000"/>
          <w:sz w:val="32"/>
          <w:szCs w:val="32"/>
        </w:rPr>
        <w:t>（三）被征地农民按广东省人力资源和社会保障厅有关规定纳入相应的养老社会保障体系。</w:t>
      </w:r>
    </w:p>
    <w:p w14:paraId="3E66806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仿宋_GB2312" w:cs="Times New Roman"/>
          <w:bCs/>
          <w:color w:val="000000"/>
          <w:kern w:val="2"/>
          <w:sz w:val="32"/>
          <w:szCs w:val="32"/>
          <w:lang w:val="en-US" w:eastAsia="zh-CN" w:bidi="ar-SA"/>
        </w:rPr>
      </w:pPr>
      <w:r>
        <w:rPr>
          <w:rFonts w:hint="eastAsia" w:ascii="Times New Roman" w:hAnsi="Times New Roman" w:eastAsia="仿宋" w:cs="仿宋"/>
          <w:bCs/>
          <w:color w:val="000000"/>
          <w:kern w:val="2"/>
          <w:sz w:val="32"/>
          <w:szCs w:val="32"/>
          <w:lang w:val="en-US" w:eastAsia="zh-CN" w:bidi="ar-SA"/>
        </w:rPr>
        <w:t>（四）留用地安置按国家、省的有关规定执行。</w:t>
      </w:r>
    </w:p>
    <w:p w14:paraId="68128F7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四、征地补偿安置费用</w:t>
      </w:r>
    </w:p>
    <w:p w14:paraId="18979DC3">
      <w:pPr>
        <w:pStyle w:val="6"/>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Cs/>
          <w:sz w:val="32"/>
          <w:szCs w:val="32"/>
        </w:rPr>
      </w:pPr>
      <w:r>
        <w:rPr>
          <w:rFonts w:hint="eastAsia" w:ascii="仿宋" w:hAnsi="仿宋" w:eastAsia="仿宋" w:cs="仿宋"/>
          <w:bCs/>
          <w:sz w:val="32"/>
          <w:szCs w:val="32"/>
        </w:rPr>
        <w:t>征地补偿总费用</w:t>
      </w:r>
      <w:r>
        <w:rPr>
          <w:rFonts w:hint="eastAsia" w:ascii="仿宋" w:hAnsi="仿宋" w:eastAsia="仿宋" w:cs="仿宋"/>
          <w:bCs/>
          <w:sz w:val="32"/>
          <w:szCs w:val="32"/>
          <w:lang w:val="en-US" w:eastAsia="zh-CN"/>
        </w:rPr>
        <w:t>107.8178</w:t>
      </w:r>
      <w:r>
        <w:rPr>
          <w:rFonts w:hint="eastAsia" w:ascii="仿宋" w:hAnsi="仿宋" w:eastAsia="仿宋" w:cs="仿宋"/>
          <w:bCs/>
          <w:sz w:val="32"/>
          <w:szCs w:val="32"/>
        </w:rPr>
        <w:t>元，其中：征地补偿费用</w:t>
      </w:r>
      <w:r>
        <w:rPr>
          <w:rFonts w:hint="eastAsia" w:ascii="仿宋" w:hAnsi="仿宋" w:eastAsia="仿宋" w:cs="仿宋"/>
          <w:bCs/>
          <w:sz w:val="32"/>
          <w:szCs w:val="32"/>
          <w:lang w:val="en-US" w:eastAsia="zh-CN"/>
        </w:rPr>
        <w:t>63.5057万</w:t>
      </w:r>
      <w:r>
        <w:rPr>
          <w:rFonts w:hint="eastAsia" w:ascii="仿宋" w:hAnsi="仿宋" w:eastAsia="仿宋" w:cs="仿宋"/>
          <w:bCs/>
          <w:sz w:val="32"/>
          <w:szCs w:val="32"/>
        </w:rPr>
        <w:t>元（含土地补偿费和安置补助费）、青苗</w:t>
      </w:r>
      <w:r>
        <w:rPr>
          <w:rFonts w:hint="eastAsia" w:ascii="仿宋" w:hAnsi="仿宋" w:eastAsia="仿宋" w:cs="仿宋"/>
          <w:bCs/>
          <w:sz w:val="32"/>
          <w:szCs w:val="32"/>
          <w:lang w:eastAsia="zh-CN"/>
        </w:rPr>
        <w:t>及</w:t>
      </w:r>
      <w:r>
        <w:rPr>
          <w:rFonts w:hint="eastAsia" w:ascii="仿宋" w:hAnsi="仿宋" w:eastAsia="仿宋" w:cs="仿宋"/>
          <w:bCs/>
          <w:sz w:val="32"/>
          <w:szCs w:val="32"/>
          <w:lang w:val="en-US" w:eastAsia="zh-CN"/>
        </w:rPr>
        <w:t>地上附着物</w:t>
      </w:r>
      <w:r>
        <w:rPr>
          <w:rFonts w:hint="eastAsia" w:ascii="仿宋" w:hAnsi="仿宋" w:eastAsia="仿宋" w:cs="仿宋"/>
          <w:bCs/>
          <w:sz w:val="32"/>
          <w:szCs w:val="32"/>
        </w:rPr>
        <w:t>补偿费用</w:t>
      </w:r>
      <w:r>
        <w:rPr>
          <w:rFonts w:hint="eastAsia" w:ascii="仿宋" w:hAnsi="仿宋" w:eastAsia="仿宋" w:cs="仿宋"/>
          <w:bCs/>
          <w:sz w:val="32"/>
          <w:szCs w:val="32"/>
          <w:lang w:val="en-US" w:eastAsia="zh-CN"/>
        </w:rPr>
        <w:t>28.3351万</w:t>
      </w:r>
      <w:r>
        <w:rPr>
          <w:rFonts w:hint="eastAsia" w:ascii="仿宋" w:hAnsi="仿宋" w:eastAsia="仿宋" w:cs="仿宋"/>
          <w:bCs/>
          <w:sz w:val="32"/>
          <w:szCs w:val="32"/>
        </w:rPr>
        <w:t>元</w:t>
      </w:r>
      <w:r>
        <w:rPr>
          <w:rFonts w:hint="eastAsia" w:ascii="仿宋" w:hAnsi="仿宋" w:eastAsia="仿宋" w:cs="仿宋"/>
          <w:bCs/>
          <w:sz w:val="32"/>
          <w:szCs w:val="32"/>
          <w:lang w:eastAsia="zh-CN"/>
        </w:rPr>
        <w:t>、</w:t>
      </w:r>
      <w:r>
        <w:rPr>
          <w:rFonts w:hint="eastAsia" w:ascii="仿宋" w:hAnsi="仿宋" w:eastAsia="仿宋" w:cs="仿宋"/>
          <w:bCs/>
          <w:sz w:val="32"/>
          <w:szCs w:val="32"/>
        </w:rPr>
        <w:t>社保费用</w:t>
      </w:r>
      <w:r>
        <w:rPr>
          <w:rFonts w:hint="eastAsia" w:ascii="仿宋" w:hAnsi="仿宋" w:eastAsia="仿宋" w:cs="仿宋"/>
          <w:bCs/>
          <w:sz w:val="32"/>
          <w:szCs w:val="32"/>
          <w:lang w:val="en-US" w:eastAsia="zh-CN"/>
        </w:rPr>
        <w:t>15.977万</w:t>
      </w:r>
      <w:r>
        <w:rPr>
          <w:rFonts w:hint="eastAsia" w:ascii="仿宋" w:hAnsi="仿宋" w:eastAsia="仿宋" w:cs="仿宋"/>
          <w:bCs/>
          <w:sz w:val="32"/>
          <w:szCs w:val="32"/>
        </w:rPr>
        <w:t>元。</w:t>
      </w:r>
    </w:p>
    <w:p w14:paraId="6D1FA7C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黑体" w:cs="黑体"/>
          <w:bCs/>
          <w:color w:val="000000"/>
          <w:sz w:val="32"/>
          <w:szCs w:val="32"/>
        </w:rPr>
      </w:pPr>
      <w:r>
        <w:rPr>
          <w:rFonts w:hint="eastAsia" w:ascii="Times New Roman" w:hAnsi="Times New Roman" w:eastAsia="黑体" w:cs="黑体"/>
          <w:bCs/>
          <w:color w:val="000000"/>
          <w:sz w:val="32"/>
          <w:szCs w:val="32"/>
        </w:rPr>
        <w:t>五、征地补偿费用支付对象、支付方式和时间</w:t>
      </w:r>
    </w:p>
    <w:p w14:paraId="06CDADAC">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（一）补偿安置费用支付给被征地的农村集体经济组织。青苗补偿费、附着物补偿费支付给所有权人。</w:t>
      </w:r>
    </w:p>
    <w:p w14:paraId="4EE555F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（二）支付方式为转账、现金。社保费用缴入财政社保专户。</w:t>
      </w:r>
    </w:p>
    <w:p w14:paraId="6B8EF19E">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 w:cs="仿宋"/>
          <w:bCs/>
          <w:color w:val="000000"/>
          <w:sz w:val="32"/>
          <w:szCs w:val="32"/>
        </w:rPr>
      </w:pPr>
      <w:r>
        <w:rPr>
          <w:rFonts w:hint="eastAsia" w:ascii="Times New Roman" w:hAnsi="Times New Roman" w:eastAsia="仿宋" w:cs="仿宋"/>
          <w:bCs/>
          <w:color w:val="000000"/>
          <w:sz w:val="32"/>
          <w:szCs w:val="32"/>
        </w:rPr>
        <w:t>（三）补偿款兑付时间为土地征收公告期满之日起三个月内。</w:t>
      </w:r>
    </w:p>
    <w:p w14:paraId="04D44CF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2C89486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07053BF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14:paraId="086D9196">
      <w:pPr>
        <w:keepNext w:val="0"/>
        <w:keepLines w:val="0"/>
        <w:pageBreakBefore w:val="0"/>
        <w:widowControl w:val="0"/>
        <w:kinsoku/>
        <w:wordWrap w:val="0"/>
        <w:overflowPunct/>
        <w:topLinePunct w:val="0"/>
        <w:autoSpaceDE/>
        <w:autoSpaceDN/>
        <w:bidi w:val="0"/>
        <w:adjustRightInd/>
        <w:snapToGrid/>
        <w:spacing w:line="60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14:paraId="31FA6AA5">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right"/>
        <w:textAlignment w:val="auto"/>
        <w:rPr>
          <w:rFonts w:hint="default"/>
          <w:lang w:val="en-US" w:eastAsia="zh-CN"/>
        </w:rPr>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11</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p w14:paraId="7B4670E7"/>
    <w:p w14:paraId="0958CC36"/>
    <w:p w14:paraId="390F0644"/>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6CFBA">
    <w:pPr>
      <w:spacing w:line="439" w:lineRule="atLeast"/>
      <w:jc w:val="left"/>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CCE741C">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path/>
              <v:fill on="f" focussize="0,0"/>
              <v:stroke on="f"/>
              <v:imagedata o:title=""/>
              <o:lock v:ext="edit" aspectratio="f"/>
              <v:textbox inset="0mm,0mm,0mm,0mm" style="mso-fit-shape-to-text:t;">
                <w:txbxContent>
                  <w:p w14:paraId="2CCE741C">
                    <w:pPr>
                      <w:spacing w:line="439" w:lineRule="atLeast"/>
                      <w:jc w:val="left"/>
                    </w:pPr>
                    <w:r>
                      <w:rPr>
                        <w:rFonts w:hint="eastAsia"/>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0C850">
    <w:pPr>
      <w:spacing w:line="439" w:lineRule="atLeast"/>
      <w:jc w:val="lef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B24F4F"/>
    <w:rsid w:val="01FF72E3"/>
    <w:rsid w:val="03B24F4F"/>
    <w:rsid w:val="0CA808BD"/>
    <w:rsid w:val="11BC6A6E"/>
    <w:rsid w:val="1C572E06"/>
    <w:rsid w:val="1DAE6F05"/>
    <w:rsid w:val="1DFF53E8"/>
    <w:rsid w:val="1F9E5906"/>
    <w:rsid w:val="241E71E1"/>
    <w:rsid w:val="28876522"/>
    <w:rsid w:val="2DB7600C"/>
    <w:rsid w:val="31A10649"/>
    <w:rsid w:val="369120C0"/>
    <w:rsid w:val="3BA50A45"/>
    <w:rsid w:val="3F291E25"/>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Times New Roman" w:hAnsi="Times New Roman" w:eastAsia="宋体" w:cs="Times New Roman"/>
      <w:kern w:val="2"/>
      <w:sz w:val="24"/>
      <w:szCs w:val="24"/>
      <w:lang w:val="en-US" w:eastAsia="zh-CN" w:bidi="ar-SA"/>
    </w:rPr>
  </w:style>
  <w:style w:type="paragraph" w:styleId="3">
    <w:name w:val="Plain Text"/>
    <w:basedOn w:val="1"/>
    <w:qFormat/>
    <w:uiPriority w:val="0"/>
    <w:rPr>
      <w:rFonts w:ascii="宋体" w:hAnsi="Courier New"/>
    </w:rPr>
  </w:style>
  <w:style w:type="paragraph" w:customStyle="1" w:styleId="6">
    <w:name w:val="List Paragraph"/>
    <w:qFormat/>
    <w:uiPriority w:val="99"/>
    <w:pPr>
      <w:widowControl w:val="0"/>
      <w:ind w:firstLine="42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2024-11-21T08:22:00Z</dcterms:created>
  <dc:creator>车走子</dc:creator>
  <cp:lastModifiedBy>车走子</cp:lastModifiedBy>
  <dcterms:modified xsi:type="dcterms:W3CDTF">2024-11-21T08:22:50Z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456D530AB15A4B39A45BAE82E51B70BF_11</vt:lpwstr>
  </property>
</Properties>
</file>