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52DA63">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5329E04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Cs/>
          <w:color w:val="auto"/>
          <w:sz w:val="44"/>
          <w:szCs w:val="44"/>
          <w:lang w:val="en-US" w:eastAsia="zh-CN"/>
        </w:rPr>
      </w:pPr>
    </w:p>
    <w:p w14:paraId="6639F70F">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eastAsia" w:ascii="方正小标宋简体" w:hAnsi="方正小标宋简体" w:eastAsia="方正小标宋简体" w:cs="方正小标宋简体"/>
          <w:bCs/>
          <w:color w:val="000000"/>
          <w:sz w:val="44"/>
          <w:szCs w:val="44"/>
          <w:lang w:eastAsia="zh-CN"/>
        </w:rPr>
      </w:pPr>
      <w:bookmarkStart w:id="2" w:name="_GoBack"/>
      <w:r>
        <w:rPr>
          <w:rFonts w:hint="eastAsia" w:ascii="方正小标宋简体" w:hAnsi="方正小标宋简体" w:eastAsia="方正小标宋简体" w:cs="方正小标宋简体"/>
          <w:bCs/>
          <w:color w:val="000000"/>
          <w:sz w:val="44"/>
          <w:szCs w:val="44"/>
          <w:lang w:eastAsia="zh-CN"/>
        </w:rPr>
        <w:t>惠东县城镇建设用地项目（惠东县大南山旅游</w:t>
      </w:r>
    </w:p>
    <w:p w14:paraId="23FEC316">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lang w:eastAsia="zh-CN"/>
        </w:rPr>
        <w:t>综合体服务中心11.26</w:t>
      </w:r>
      <w:r>
        <w:rPr>
          <w:rFonts w:hint="eastAsia" w:ascii="方正小标宋简体" w:hAnsi="方正小标宋简体" w:eastAsia="方正小标宋简体" w:cs="方正小标宋简体"/>
          <w:bCs/>
          <w:color w:val="000000"/>
          <w:sz w:val="44"/>
          <w:szCs w:val="44"/>
          <w:lang w:val="en-US" w:eastAsia="zh-CN"/>
        </w:rPr>
        <w:t>05</w:t>
      </w:r>
      <w:r>
        <w:rPr>
          <w:rFonts w:hint="eastAsia" w:ascii="方正小标宋简体" w:hAnsi="方正小标宋简体" w:eastAsia="方正小标宋简体" w:cs="方正小标宋简体"/>
          <w:bCs/>
          <w:color w:val="000000"/>
          <w:sz w:val="44"/>
          <w:szCs w:val="44"/>
          <w:lang w:eastAsia="zh-CN"/>
        </w:rPr>
        <w:t>亩项目）</w:t>
      </w:r>
      <w:r>
        <w:rPr>
          <w:rFonts w:hint="eastAsia" w:ascii="方正小标宋简体" w:hAnsi="方正小标宋简体" w:eastAsia="方正小标宋简体" w:cs="方正小标宋简体"/>
          <w:bCs/>
          <w:color w:val="000000"/>
          <w:sz w:val="44"/>
          <w:szCs w:val="44"/>
        </w:rPr>
        <w:t>征地</w:t>
      </w:r>
    </w:p>
    <w:p w14:paraId="36145CD8">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补偿安置方案</w:t>
      </w:r>
      <w:bookmarkEnd w:id="2"/>
    </w:p>
    <w:p w14:paraId="30C76939">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ascii="Times New Roman" w:hAnsi="Times New Roman" w:eastAsia="黑体" w:cs="黑体"/>
          <w:b/>
          <w:bCs/>
          <w:color w:val="000000"/>
          <w:sz w:val="44"/>
          <w:szCs w:val="44"/>
        </w:rPr>
      </w:pPr>
    </w:p>
    <w:p w14:paraId="51C46C06">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color w:val="000000"/>
          <w:sz w:val="32"/>
          <w:szCs w:val="32"/>
        </w:rPr>
      </w:pPr>
      <w:r>
        <w:rPr>
          <w:rFonts w:hint="eastAsia" w:ascii="仿宋" w:hAnsi="仿宋" w:eastAsia="仿宋" w:cs="仿宋"/>
          <w:bCs/>
          <w:color w:val="000000"/>
          <w:sz w:val="32"/>
          <w:szCs w:val="32"/>
        </w:rPr>
        <w:t>为了公共利益的需要，依据《中华人民共和国土地管理法》，经惠东县人民政府研究，拟征收位于</w:t>
      </w:r>
      <w:r>
        <w:rPr>
          <w:rFonts w:hint="eastAsia" w:ascii="仿宋" w:hAnsi="仿宋" w:eastAsia="仿宋" w:cs="仿宋"/>
          <w:bCs/>
          <w:color w:val="000000"/>
          <w:sz w:val="32"/>
          <w:szCs w:val="32"/>
          <w:u w:val="none"/>
          <w:lang w:val="en-US" w:eastAsia="zh-CN"/>
        </w:rPr>
        <w:t>九龙峰管委会长坑村</w:t>
      </w:r>
      <w:r>
        <w:rPr>
          <w:rFonts w:hint="eastAsia" w:ascii="仿宋" w:hAnsi="仿宋" w:eastAsia="仿宋" w:cs="仿宋"/>
          <w:bCs/>
          <w:sz w:val="32"/>
          <w:szCs w:val="32"/>
        </w:rPr>
        <w:t>地段</w:t>
      </w:r>
      <w:r>
        <w:rPr>
          <w:rFonts w:hint="eastAsia" w:ascii="仿宋" w:hAnsi="仿宋" w:eastAsia="仿宋" w:cs="仿宋"/>
          <w:bCs/>
          <w:color w:val="000000"/>
          <w:sz w:val="32"/>
          <w:szCs w:val="32"/>
        </w:rPr>
        <w:t>的11.26</w:t>
      </w:r>
      <w:r>
        <w:rPr>
          <w:rFonts w:hint="eastAsia" w:ascii="仿宋" w:hAnsi="仿宋" w:eastAsia="仿宋" w:cs="仿宋"/>
          <w:bCs/>
          <w:color w:val="000000"/>
          <w:sz w:val="32"/>
          <w:szCs w:val="32"/>
          <w:lang w:val="en-US" w:eastAsia="zh-CN"/>
        </w:rPr>
        <w:t>05</w:t>
      </w:r>
      <w:r>
        <w:rPr>
          <w:rFonts w:hint="eastAsia" w:ascii="仿宋" w:hAnsi="仿宋" w:eastAsia="仿宋" w:cs="仿宋"/>
          <w:bCs/>
          <w:color w:val="000000"/>
          <w:sz w:val="32"/>
          <w:szCs w:val="32"/>
        </w:rPr>
        <w:t>亩集体所有土地。根据国家、省、市的相关法律、法规和我市的有关规定，结合土地现状调查结果，特制订本项目征地补偿安置方案如下：</w:t>
      </w:r>
    </w:p>
    <w:p w14:paraId="5D8DC010">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黑体" w:cs="黑体"/>
          <w:bCs/>
          <w:color w:val="000000"/>
          <w:sz w:val="32"/>
          <w:szCs w:val="32"/>
        </w:rPr>
      </w:pPr>
      <w:bookmarkStart w:id="0" w:name="_Toc16733"/>
      <w:bookmarkEnd w:id="0"/>
      <w:r>
        <w:rPr>
          <w:rFonts w:hint="eastAsia" w:ascii="Times New Roman" w:hAnsi="Times New Roman" w:eastAsia="黑体" w:cs="黑体"/>
          <w:bCs/>
          <w:color w:val="000000"/>
          <w:sz w:val="32"/>
          <w:szCs w:val="32"/>
        </w:rPr>
        <w:t>一、征收土地的位置、范围、权属、面积和现状</w:t>
      </w:r>
    </w:p>
    <w:p w14:paraId="3238776C">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000000"/>
          <w:sz w:val="32"/>
          <w:szCs w:val="32"/>
        </w:rPr>
        <w:t>拟征收土地位于</w:t>
      </w:r>
      <w:r>
        <w:rPr>
          <w:rFonts w:hint="eastAsia" w:ascii="仿宋" w:hAnsi="仿宋" w:eastAsia="仿宋" w:cs="仿宋"/>
          <w:bCs/>
          <w:color w:val="000000"/>
          <w:sz w:val="32"/>
          <w:szCs w:val="32"/>
          <w:u w:val="none"/>
          <w:lang w:val="en-US" w:eastAsia="zh-CN"/>
        </w:rPr>
        <w:t>九龙峰管委会长坑村</w:t>
      </w:r>
      <w:r>
        <w:rPr>
          <w:rFonts w:hint="eastAsia" w:ascii="仿宋" w:hAnsi="仿宋" w:eastAsia="仿宋" w:cs="仿宋"/>
          <w:bCs/>
          <w:sz w:val="32"/>
          <w:szCs w:val="32"/>
        </w:rPr>
        <w:t>地段，属</w:t>
      </w:r>
      <w:r>
        <w:rPr>
          <w:rFonts w:hint="eastAsia" w:ascii="仿宋" w:hAnsi="仿宋" w:eastAsia="仿宋" w:cs="仿宋"/>
          <w:bCs/>
          <w:color w:val="000000"/>
          <w:sz w:val="32"/>
          <w:szCs w:val="32"/>
          <w:u w:val="none"/>
          <w:lang w:val="en-US" w:eastAsia="zh-CN"/>
        </w:rPr>
        <w:t>平山街道长坑村田坑经济合作社</w:t>
      </w:r>
      <w:r>
        <w:rPr>
          <w:rFonts w:hint="eastAsia" w:ascii="仿宋" w:hAnsi="仿宋" w:eastAsia="仿宋" w:cs="仿宋"/>
          <w:bCs/>
          <w:color w:val="auto"/>
          <w:sz w:val="32"/>
          <w:szCs w:val="32"/>
        </w:rPr>
        <w:t>所有的</w:t>
      </w:r>
      <w:r>
        <w:rPr>
          <w:rFonts w:hint="eastAsia" w:ascii="仿宋" w:hAnsi="仿宋" w:eastAsia="仿宋" w:cs="仿宋"/>
          <w:bCs/>
          <w:color w:val="auto"/>
          <w:sz w:val="32"/>
          <w:szCs w:val="32"/>
          <w:lang w:eastAsia="zh-CN"/>
        </w:rPr>
        <w:t>农村</w:t>
      </w:r>
      <w:r>
        <w:rPr>
          <w:rFonts w:hint="eastAsia" w:ascii="仿宋" w:hAnsi="仿宋" w:eastAsia="仿宋" w:cs="仿宋"/>
          <w:bCs/>
          <w:color w:val="auto"/>
          <w:sz w:val="32"/>
          <w:szCs w:val="32"/>
        </w:rPr>
        <w:t>集体土地，面积为</w:t>
      </w:r>
      <w:r>
        <w:rPr>
          <w:rFonts w:hint="eastAsia" w:ascii="仿宋" w:hAnsi="仿宋" w:eastAsia="仿宋" w:cs="仿宋"/>
          <w:bCs/>
          <w:color w:val="000000"/>
          <w:sz w:val="32"/>
          <w:szCs w:val="32"/>
        </w:rPr>
        <w:t>11.26</w:t>
      </w:r>
      <w:r>
        <w:rPr>
          <w:rFonts w:hint="eastAsia" w:ascii="仿宋" w:hAnsi="仿宋" w:eastAsia="仿宋" w:cs="仿宋"/>
          <w:bCs/>
          <w:color w:val="000000"/>
          <w:sz w:val="32"/>
          <w:szCs w:val="32"/>
          <w:lang w:val="en-US" w:eastAsia="zh-CN"/>
        </w:rPr>
        <w:t>05</w:t>
      </w:r>
      <w:r>
        <w:rPr>
          <w:rFonts w:hint="eastAsia" w:ascii="仿宋" w:hAnsi="仿宋" w:eastAsia="仿宋" w:cs="仿宋"/>
          <w:bCs/>
          <w:color w:val="auto"/>
          <w:sz w:val="32"/>
          <w:szCs w:val="32"/>
        </w:rPr>
        <w:t>亩，</w:t>
      </w:r>
      <w:r>
        <w:rPr>
          <w:rFonts w:hint="eastAsia" w:ascii="仿宋" w:hAnsi="仿宋" w:eastAsia="仿宋" w:cs="仿宋"/>
          <w:bCs/>
          <w:color w:val="auto"/>
          <w:sz w:val="32"/>
          <w:szCs w:val="32"/>
          <w:lang w:eastAsia="zh-CN"/>
        </w:rPr>
        <w:t>均为农用地</w:t>
      </w:r>
      <w:r>
        <w:rPr>
          <w:rFonts w:hint="eastAsia" w:ascii="仿宋" w:hAnsi="仿宋" w:eastAsia="仿宋" w:cs="仿宋"/>
          <w:bCs/>
          <w:color w:val="auto"/>
          <w:sz w:val="32"/>
          <w:szCs w:val="32"/>
        </w:rPr>
        <w:t>；四至范围详见《拟征收土地四至界线图》。</w:t>
      </w:r>
    </w:p>
    <w:p w14:paraId="238222B2">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s="Times New Roman"/>
          <w:bCs/>
          <w:color w:val="auto"/>
          <w:sz w:val="32"/>
          <w:szCs w:val="32"/>
        </w:rPr>
      </w:pPr>
      <w:bookmarkStart w:id="1" w:name="_Toc31854"/>
      <w:r>
        <w:rPr>
          <w:rFonts w:hint="eastAsia" w:ascii="Times New Roman" w:hAnsi="Times New Roman" w:eastAsia="黑体" w:cs="黑体"/>
          <w:bCs/>
          <w:color w:val="auto"/>
          <w:sz w:val="32"/>
          <w:szCs w:val="32"/>
        </w:rPr>
        <w:t>二、征收目的</w:t>
      </w:r>
    </w:p>
    <w:p w14:paraId="0274C737">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firstLine="640" w:firstLineChars="200"/>
        <w:jc w:val="both"/>
        <w:textAlignment w:val="auto"/>
        <w:rPr>
          <w:rFonts w:ascii="Times New Roman" w:hAnsi="Times New Roman" w:eastAsia="仿宋" w:cs="仿宋"/>
          <w:bCs/>
          <w:color w:val="auto"/>
          <w:sz w:val="32"/>
          <w:szCs w:val="32"/>
        </w:rPr>
      </w:pPr>
      <w:r>
        <w:rPr>
          <w:rFonts w:hint="eastAsia" w:ascii="Times New Roman" w:hAnsi="Times New Roman" w:eastAsia="仿宋" w:cs="仿宋"/>
          <w:bCs/>
          <w:color w:val="auto"/>
          <w:sz w:val="32"/>
          <w:szCs w:val="32"/>
        </w:rPr>
        <w:t>本次拟征收土地用于</w:t>
      </w:r>
      <w:r>
        <w:rPr>
          <w:rFonts w:hint="eastAsia" w:ascii="Times New Roman" w:hAnsi="Times New Roman" w:eastAsia="仿宋" w:cs="仿宋"/>
          <w:bCs/>
          <w:color w:val="auto"/>
          <w:sz w:val="32"/>
          <w:szCs w:val="32"/>
          <w:lang w:eastAsia="zh-CN"/>
        </w:rPr>
        <w:t>惠东县城镇建设用地项目</w:t>
      </w:r>
      <w:r>
        <w:rPr>
          <w:rFonts w:hint="eastAsia" w:ascii="仿宋" w:hAnsi="仿宋" w:eastAsia="仿宋" w:cs="仿宋"/>
          <w:bCs/>
          <w:sz w:val="32"/>
          <w:szCs w:val="32"/>
          <w:u w:val="none"/>
        </w:rPr>
        <w:t>（惠东县大南山旅游综合体服务中心11.26</w:t>
      </w:r>
      <w:r>
        <w:rPr>
          <w:rFonts w:hint="eastAsia" w:ascii="仿宋" w:hAnsi="仿宋" w:eastAsia="仿宋" w:cs="仿宋"/>
          <w:bCs/>
          <w:sz w:val="32"/>
          <w:szCs w:val="32"/>
          <w:u w:val="none"/>
          <w:lang w:val="en-US" w:eastAsia="zh-CN"/>
        </w:rPr>
        <w:t>05</w:t>
      </w:r>
      <w:r>
        <w:rPr>
          <w:rFonts w:hint="eastAsia" w:ascii="仿宋" w:hAnsi="仿宋" w:eastAsia="仿宋" w:cs="仿宋"/>
          <w:bCs/>
          <w:sz w:val="32"/>
          <w:szCs w:val="32"/>
          <w:u w:val="none"/>
        </w:rPr>
        <w:t>亩项目）</w:t>
      </w:r>
      <w:r>
        <w:rPr>
          <w:rFonts w:hint="eastAsia" w:ascii="Times New Roman" w:hAnsi="Times New Roman" w:eastAsia="仿宋" w:cs="仿宋"/>
          <w:bCs/>
          <w:color w:val="auto"/>
          <w:sz w:val="32"/>
          <w:szCs w:val="32"/>
        </w:rPr>
        <w:t>。</w:t>
      </w:r>
    </w:p>
    <w:bookmarkEnd w:id="1"/>
    <w:p w14:paraId="589A7AF8">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s="Times New Roman"/>
          <w:bCs/>
          <w:color w:val="auto"/>
          <w:sz w:val="32"/>
          <w:szCs w:val="32"/>
        </w:rPr>
      </w:pPr>
      <w:r>
        <w:rPr>
          <w:rFonts w:hint="eastAsia" w:ascii="Times New Roman" w:hAnsi="Times New Roman" w:eastAsia="黑体" w:cs="黑体"/>
          <w:bCs/>
          <w:color w:val="auto"/>
          <w:sz w:val="32"/>
          <w:szCs w:val="32"/>
        </w:rPr>
        <w:t>三、征收土地补偿标准、安置方式和社会保障</w:t>
      </w:r>
    </w:p>
    <w:p w14:paraId="2FA9EED2">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仿宋"/>
          <w:bCs/>
          <w:color w:val="auto"/>
          <w:sz w:val="32"/>
          <w:szCs w:val="32"/>
        </w:rPr>
      </w:pPr>
      <w:r>
        <w:rPr>
          <w:rFonts w:hint="eastAsia" w:ascii="Times New Roman" w:hAnsi="Times New Roman" w:eastAsia="仿宋" w:cs="仿宋"/>
          <w:bCs/>
          <w:color w:val="auto"/>
          <w:sz w:val="32"/>
          <w:szCs w:val="32"/>
        </w:rPr>
        <w:t>（一）本次征地实行区片综合地价补偿，具体补偿标准如下：</w:t>
      </w:r>
    </w:p>
    <w:tbl>
      <w:tblPr>
        <w:tblStyle w:val="4"/>
        <w:tblpPr w:leftFromText="180" w:rightFromText="180" w:vertAnchor="text" w:horzAnchor="page" w:tblpX="1299" w:tblpY="182"/>
        <w:tblOverlap w:val="never"/>
        <w:tblW w:w="939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44"/>
        <w:gridCol w:w="1256"/>
        <w:gridCol w:w="1462"/>
        <w:gridCol w:w="1275"/>
        <w:gridCol w:w="19"/>
        <w:gridCol w:w="1294"/>
        <w:gridCol w:w="2047"/>
      </w:tblGrid>
      <w:tr w14:paraId="21EB87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9" w:hRule="atLeast"/>
          <w:tblHeader/>
        </w:trPr>
        <w:tc>
          <w:tcPr>
            <w:tcW w:w="2044" w:type="dxa"/>
            <w:vMerge w:val="restart"/>
            <w:tcBorders>
              <w:tl2br w:val="nil"/>
              <w:tr2bl w:val="nil"/>
            </w:tcBorders>
            <w:noWrap w:val="0"/>
            <w:vAlign w:val="center"/>
          </w:tcPr>
          <w:p w14:paraId="40DE1D71">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被征地的集体</w:t>
            </w:r>
          </w:p>
          <w:p w14:paraId="5F8B2EB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经济组织</w:t>
            </w:r>
          </w:p>
        </w:tc>
        <w:tc>
          <w:tcPr>
            <w:tcW w:w="1256" w:type="dxa"/>
            <w:vMerge w:val="restart"/>
            <w:tcBorders>
              <w:tl2br w:val="nil"/>
              <w:tr2bl w:val="nil"/>
            </w:tcBorders>
            <w:noWrap w:val="0"/>
            <w:vAlign w:val="center"/>
          </w:tcPr>
          <w:p w14:paraId="7B91FD1D">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地类</w:t>
            </w:r>
          </w:p>
          <w:p w14:paraId="1D0ECEAE">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名称</w:t>
            </w:r>
          </w:p>
        </w:tc>
        <w:tc>
          <w:tcPr>
            <w:tcW w:w="1462" w:type="dxa"/>
            <w:vMerge w:val="restart"/>
            <w:tcBorders>
              <w:tl2br w:val="nil"/>
              <w:tr2bl w:val="nil"/>
            </w:tcBorders>
            <w:noWrap w:val="0"/>
            <w:vAlign w:val="center"/>
          </w:tcPr>
          <w:p w14:paraId="080CD3DF">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土地面积（亩）</w:t>
            </w:r>
          </w:p>
        </w:tc>
        <w:tc>
          <w:tcPr>
            <w:tcW w:w="2588" w:type="dxa"/>
            <w:gridSpan w:val="3"/>
            <w:tcBorders>
              <w:tl2br w:val="nil"/>
              <w:tr2bl w:val="nil"/>
            </w:tcBorders>
            <w:noWrap w:val="0"/>
            <w:vAlign w:val="center"/>
          </w:tcPr>
          <w:p w14:paraId="2887483C">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征地区片</w:t>
            </w:r>
          </w:p>
          <w:p w14:paraId="16121F79">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rPr>
              <w:t>综合地价</w:t>
            </w:r>
          </w:p>
        </w:tc>
        <w:tc>
          <w:tcPr>
            <w:tcW w:w="2047" w:type="dxa"/>
            <w:vMerge w:val="restart"/>
            <w:tcBorders>
              <w:tl2br w:val="nil"/>
              <w:tr2bl w:val="nil"/>
            </w:tcBorders>
            <w:noWrap w:val="0"/>
            <w:vAlign w:val="center"/>
          </w:tcPr>
          <w:p w14:paraId="3940F18E">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征地补偿费</w:t>
            </w:r>
          </w:p>
          <w:p w14:paraId="4380B082">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sz w:val="30"/>
                <w:szCs w:val="30"/>
                <w:lang w:eastAsia="zh-CN"/>
              </w:rPr>
              <w:t>（万元）</w:t>
            </w:r>
          </w:p>
        </w:tc>
      </w:tr>
      <w:tr w14:paraId="458C2C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4" w:hRule="atLeast"/>
          <w:tblHeader/>
        </w:trPr>
        <w:tc>
          <w:tcPr>
            <w:tcW w:w="2044" w:type="dxa"/>
            <w:vMerge w:val="continue"/>
            <w:tcBorders>
              <w:tl2br w:val="nil"/>
              <w:tr2bl w:val="nil"/>
            </w:tcBorders>
            <w:noWrap w:val="0"/>
            <w:vAlign w:val="center"/>
          </w:tcPr>
          <w:p w14:paraId="2B72826D">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c>
          <w:tcPr>
            <w:tcW w:w="1256" w:type="dxa"/>
            <w:vMerge w:val="continue"/>
            <w:tcBorders>
              <w:tl2br w:val="nil"/>
              <w:tr2bl w:val="nil"/>
            </w:tcBorders>
            <w:noWrap w:val="0"/>
            <w:vAlign w:val="center"/>
          </w:tcPr>
          <w:p w14:paraId="2B158EF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c>
          <w:tcPr>
            <w:tcW w:w="1462" w:type="dxa"/>
            <w:vMerge w:val="continue"/>
            <w:tcBorders>
              <w:tl2br w:val="nil"/>
              <w:tr2bl w:val="nil"/>
            </w:tcBorders>
            <w:noWrap w:val="0"/>
            <w:vAlign w:val="center"/>
          </w:tcPr>
          <w:p w14:paraId="161779BA">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c>
          <w:tcPr>
            <w:tcW w:w="1275" w:type="dxa"/>
            <w:tcBorders>
              <w:tl2br w:val="nil"/>
              <w:tr2bl w:val="nil"/>
            </w:tcBorders>
            <w:noWrap w:val="0"/>
            <w:vAlign w:val="center"/>
          </w:tcPr>
          <w:p w14:paraId="154316BE">
            <w:pPr>
              <w:keepNext w:val="0"/>
              <w:keepLines w:val="0"/>
              <w:pageBreakBefore w:val="0"/>
              <w:kinsoku/>
              <w:wordWrap/>
              <w:overflowPunct/>
              <w:topLinePunct w:val="0"/>
              <w:autoSpaceDE/>
              <w:autoSpaceDN/>
              <w:bidi w:val="0"/>
              <w:adjustRightInd/>
              <w:snapToGrid w:val="0"/>
              <w:spacing w:line="460" w:lineRule="exact"/>
              <w:jc w:val="both"/>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rPr>
              <w:t>土地补偿费</w:t>
            </w: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313" w:type="dxa"/>
            <w:gridSpan w:val="2"/>
            <w:tcBorders>
              <w:tl2br w:val="nil"/>
              <w:tr2bl w:val="nil"/>
            </w:tcBorders>
            <w:noWrap w:val="0"/>
            <w:vAlign w:val="center"/>
          </w:tcPr>
          <w:p w14:paraId="708905D8">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ascii="Times New Roman" w:hAnsi="Times New Roman" w:eastAsia="宋体" w:cs="Times New Roman"/>
                <w:sz w:val="30"/>
                <w:szCs w:val="30"/>
              </w:rPr>
            </w:pPr>
            <w:r>
              <w:rPr>
                <w:rFonts w:hint="eastAsia" w:ascii="仿宋" w:hAnsi="仿宋" w:eastAsia="仿宋" w:cs="仿宋"/>
                <w:b/>
                <w:bCs/>
                <w:sz w:val="30"/>
                <w:szCs w:val="30"/>
              </w:rPr>
              <w:t>安置补助费</w:t>
            </w: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2047" w:type="dxa"/>
            <w:vMerge w:val="continue"/>
            <w:tcBorders>
              <w:tl2br w:val="nil"/>
              <w:tr2bl w:val="nil"/>
            </w:tcBorders>
            <w:noWrap w:val="0"/>
            <w:vAlign w:val="center"/>
          </w:tcPr>
          <w:p w14:paraId="5FDA9F80">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r>
      <w:tr w14:paraId="5B519A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1" w:hRule="exact"/>
        </w:trPr>
        <w:tc>
          <w:tcPr>
            <w:tcW w:w="2044" w:type="dxa"/>
            <w:tcBorders>
              <w:tl2br w:val="nil"/>
              <w:tr2bl w:val="nil"/>
            </w:tcBorders>
            <w:noWrap w:val="0"/>
            <w:vAlign w:val="center"/>
          </w:tcPr>
          <w:p w14:paraId="035C91D6">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000000"/>
                <w:kern w:val="0"/>
                <w:sz w:val="28"/>
                <w:szCs w:val="28"/>
                <w:lang w:bidi="ar"/>
              </w:rPr>
            </w:pPr>
            <w:r>
              <w:rPr>
                <w:rFonts w:hint="eastAsia" w:ascii="Times New Roman" w:hAnsi="Times New Roman" w:eastAsia="仿宋" w:cs="仿宋"/>
                <w:bCs/>
                <w:sz w:val="32"/>
                <w:szCs w:val="32"/>
                <w:lang w:eastAsia="zh-CN"/>
              </w:rPr>
              <w:t>惠东县</w:t>
            </w:r>
            <w:r>
              <w:rPr>
                <w:rFonts w:hint="eastAsia" w:ascii="Times New Roman" w:hAnsi="Times New Roman" w:eastAsia="仿宋" w:cs="仿宋"/>
                <w:bCs/>
                <w:color w:val="auto"/>
                <w:sz w:val="32"/>
                <w:szCs w:val="32"/>
                <w:lang w:eastAsia="zh-CN"/>
              </w:rPr>
              <w:t>平山街道</w:t>
            </w:r>
            <w:r>
              <w:rPr>
                <w:rFonts w:hint="eastAsia" w:ascii="仿宋" w:hAnsi="仿宋" w:eastAsia="仿宋" w:cs="仿宋"/>
                <w:bCs/>
                <w:color w:val="auto"/>
                <w:sz w:val="32"/>
                <w:szCs w:val="32"/>
                <w:u w:val="none"/>
                <w:lang w:val="en-US" w:eastAsia="zh-CN"/>
              </w:rPr>
              <w:t>长坑</w:t>
            </w:r>
            <w:r>
              <w:rPr>
                <w:rFonts w:hint="eastAsia" w:ascii="仿宋" w:hAnsi="仿宋" w:eastAsia="仿宋" w:cs="仿宋"/>
                <w:bCs/>
                <w:sz w:val="32"/>
                <w:szCs w:val="32"/>
                <w:u w:val="none"/>
                <w:lang w:val="en-US" w:eastAsia="zh-CN"/>
              </w:rPr>
              <w:t>村田坑经济合作社</w:t>
            </w:r>
          </w:p>
        </w:tc>
        <w:tc>
          <w:tcPr>
            <w:tcW w:w="1256" w:type="dxa"/>
            <w:tcBorders>
              <w:tl2br w:val="nil"/>
              <w:tr2bl w:val="nil"/>
            </w:tcBorders>
            <w:noWrap w:val="0"/>
            <w:vAlign w:val="center"/>
          </w:tcPr>
          <w:p w14:paraId="6A4FC2E2">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农用地</w:t>
            </w:r>
          </w:p>
        </w:tc>
        <w:tc>
          <w:tcPr>
            <w:tcW w:w="1462" w:type="dxa"/>
            <w:tcBorders>
              <w:tl2br w:val="nil"/>
              <w:tr2bl w:val="nil"/>
            </w:tcBorders>
            <w:noWrap w:val="0"/>
            <w:vAlign w:val="center"/>
          </w:tcPr>
          <w:p w14:paraId="6F88B387">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仿宋" w:hAnsi="仿宋" w:eastAsia="仿宋" w:cs="仿宋"/>
                <w:bCs/>
                <w:sz w:val="30"/>
                <w:szCs w:val="30"/>
                <w:highlight w:val="none"/>
                <w:u w:val="none"/>
                <w:lang w:val="en-US" w:eastAsia="zh-CN"/>
              </w:rPr>
              <w:t>11.2605</w:t>
            </w:r>
          </w:p>
        </w:tc>
        <w:tc>
          <w:tcPr>
            <w:tcW w:w="1294" w:type="dxa"/>
            <w:gridSpan w:val="2"/>
            <w:tcBorders>
              <w:tl2br w:val="nil"/>
              <w:tr2bl w:val="nil"/>
            </w:tcBorders>
            <w:noWrap w:val="0"/>
            <w:vAlign w:val="center"/>
          </w:tcPr>
          <w:p w14:paraId="13A6BFA9">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仿宋" w:hAnsi="仿宋" w:eastAsia="仿宋" w:cs="仿宋"/>
                <w:bCs/>
                <w:sz w:val="30"/>
                <w:szCs w:val="30"/>
                <w:highlight w:val="none"/>
                <w:u w:val="none"/>
                <w:lang w:val="en-US" w:eastAsia="zh-CN"/>
              </w:rPr>
              <w:t>2.6</w:t>
            </w:r>
          </w:p>
        </w:tc>
        <w:tc>
          <w:tcPr>
            <w:tcW w:w="1294" w:type="dxa"/>
            <w:tcBorders>
              <w:tl2br w:val="nil"/>
              <w:tr2bl w:val="nil"/>
            </w:tcBorders>
            <w:noWrap w:val="0"/>
            <w:vAlign w:val="center"/>
          </w:tcPr>
          <w:p w14:paraId="6092597A">
            <w:pPr>
              <w:keepNext w:val="0"/>
              <w:keepLines w:val="0"/>
              <w:pageBreakBefore w:val="0"/>
              <w:kinsoku/>
              <w:wordWrap/>
              <w:overflowPunct/>
              <w:topLinePunct w:val="0"/>
              <w:autoSpaceDE/>
              <w:autoSpaceDN/>
              <w:bidi w:val="0"/>
              <w:adjustRightInd/>
              <w:spacing w:line="46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仿宋" w:hAnsi="仿宋" w:eastAsia="仿宋" w:cs="仿宋"/>
                <w:bCs/>
                <w:sz w:val="30"/>
                <w:szCs w:val="30"/>
                <w:highlight w:val="none"/>
                <w:u w:val="none"/>
                <w:lang w:val="en-US" w:eastAsia="zh-CN"/>
              </w:rPr>
              <w:t>3.9</w:t>
            </w:r>
          </w:p>
        </w:tc>
        <w:tc>
          <w:tcPr>
            <w:tcW w:w="2047" w:type="dxa"/>
            <w:tcBorders>
              <w:tl2br w:val="nil"/>
              <w:tr2bl w:val="nil"/>
            </w:tcBorders>
            <w:noWrap w:val="0"/>
            <w:vAlign w:val="center"/>
          </w:tcPr>
          <w:p w14:paraId="63943714">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73.1933</w:t>
            </w:r>
          </w:p>
        </w:tc>
      </w:tr>
    </w:tbl>
    <w:p w14:paraId="68C5DD6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（二）住宅、其他地上附着物和青苗补偿费按惠州市人民政府关于印发《惠州市集体土地征收与补偿办法》的通知（惠府〔2021〕27号）规定的标准进行核算。</w:t>
      </w:r>
    </w:p>
    <w:p w14:paraId="4787DD6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（三）被征地农民按广东省人力资源和社会保障厅有关规定纳入相应的养老社会保障体系。</w:t>
      </w:r>
    </w:p>
    <w:p w14:paraId="370C209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（四）留用地安置按国家、省的有关规定执行。</w:t>
      </w:r>
    </w:p>
    <w:p w14:paraId="34CF7C0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黑体" w:cs="黑体"/>
          <w:bCs/>
          <w:color w:val="000000"/>
          <w:sz w:val="32"/>
          <w:szCs w:val="32"/>
        </w:rPr>
      </w:pPr>
      <w:r>
        <w:rPr>
          <w:rFonts w:hint="eastAsia" w:ascii="Times New Roman" w:hAnsi="Times New Roman" w:eastAsia="黑体" w:cs="黑体"/>
          <w:bCs/>
          <w:color w:val="000000"/>
          <w:sz w:val="32"/>
          <w:szCs w:val="32"/>
        </w:rPr>
        <w:t>四、征地补偿安置费用</w:t>
      </w:r>
    </w:p>
    <w:p w14:paraId="5D42895F">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color w:val="000000"/>
          <w:sz w:val="32"/>
          <w:szCs w:val="32"/>
        </w:rPr>
      </w:pPr>
      <w:r>
        <w:rPr>
          <w:rFonts w:hint="eastAsia" w:ascii="仿宋" w:hAnsi="仿宋" w:eastAsia="仿宋" w:cs="仿宋"/>
          <w:bCs/>
          <w:color w:val="auto"/>
          <w:sz w:val="32"/>
          <w:szCs w:val="32"/>
        </w:rPr>
        <w:t>征地补偿总费用</w:t>
      </w:r>
      <w:r>
        <w:rPr>
          <w:rFonts w:hint="eastAsia" w:ascii="仿宋" w:hAnsi="仿宋" w:eastAsia="仿宋" w:cs="仿宋"/>
          <w:bCs/>
          <w:color w:val="auto"/>
          <w:sz w:val="32"/>
          <w:szCs w:val="32"/>
          <w:lang w:val="en-US" w:eastAsia="zh-CN"/>
        </w:rPr>
        <w:t>145.5054</w:t>
      </w:r>
      <w:r>
        <w:rPr>
          <w:rFonts w:hint="eastAsia" w:ascii="仿宋" w:hAnsi="仿宋" w:eastAsia="仿宋" w:cs="仿宋"/>
          <w:bCs/>
          <w:color w:val="auto"/>
          <w:sz w:val="32"/>
          <w:szCs w:val="32"/>
        </w:rPr>
        <w:t>万元，其中：征地补偿费用</w:t>
      </w:r>
      <w:r>
        <w:rPr>
          <w:rFonts w:hint="eastAsia" w:ascii="仿宋" w:hAnsi="仿宋" w:eastAsia="仿宋" w:cs="仿宋"/>
          <w:color w:val="000000"/>
          <w:kern w:val="0"/>
          <w:sz w:val="32"/>
          <w:szCs w:val="32"/>
          <w:lang w:val="en-US" w:eastAsia="zh-CN" w:bidi="ar"/>
        </w:rPr>
        <w:t>73.1933</w:t>
      </w:r>
      <w:r>
        <w:rPr>
          <w:rFonts w:hint="eastAsia" w:ascii="仿宋" w:hAnsi="仿宋" w:eastAsia="仿宋" w:cs="仿宋"/>
          <w:bCs/>
          <w:color w:val="auto"/>
          <w:sz w:val="32"/>
          <w:szCs w:val="32"/>
        </w:rPr>
        <w:t>万元（含土地补偿费和安置补助费）、</w:t>
      </w:r>
      <w:r>
        <w:rPr>
          <w:rFonts w:hint="eastAsia" w:ascii="仿宋" w:hAnsi="仿宋" w:eastAsia="仿宋" w:cs="仿宋"/>
          <w:bCs/>
          <w:color w:val="auto"/>
          <w:sz w:val="32"/>
          <w:szCs w:val="32"/>
          <w:lang w:eastAsia="zh-CN"/>
        </w:rPr>
        <w:t>青苗及地上附着物费用</w:t>
      </w:r>
      <w:r>
        <w:rPr>
          <w:rFonts w:hint="eastAsia" w:ascii="仿宋" w:hAnsi="仿宋" w:eastAsia="仿宋" w:cs="仿宋"/>
          <w:bCs/>
          <w:color w:val="auto"/>
          <w:sz w:val="32"/>
          <w:szCs w:val="32"/>
          <w:lang w:val="en-US" w:eastAsia="zh-CN"/>
        </w:rPr>
        <w:t>53.8978万元、</w:t>
      </w:r>
      <w:r>
        <w:rPr>
          <w:rFonts w:hint="eastAsia" w:ascii="仿宋" w:hAnsi="仿宋" w:eastAsia="仿宋" w:cs="仿宋"/>
          <w:bCs/>
          <w:color w:val="auto"/>
          <w:sz w:val="32"/>
          <w:szCs w:val="32"/>
        </w:rPr>
        <w:t>社保</w:t>
      </w:r>
      <w:r>
        <w:rPr>
          <w:rFonts w:hint="eastAsia" w:ascii="仿宋" w:hAnsi="仿宋" w:eastAsia="仿宋" w:cs="仿宋"/>
          <w:bCs/>
          <w:color w:val="000000"/>
          <w:sz w:val="32"/>
          <w:szCs w:val="32"/>
        </w:rPr>
        <w:t>费用</w:t>
      </w:r>
      <w:r>
        <w:rPr>
          <w:rFonts w:hint="eastAsia" w:ascii="仿宋" w:hAnsi="仿宋" w:eastAsia="仿宋" w:cs="仿宋"/>
          <w:bCs/>
          <w:color w:val="000000"/>
          <w:sz w:val="32"/>
          <w:szCs w:val="32"/>
          <w:lang w:val="en-US" w:eastAsia="zh-CN"/>
        </w:rPr>
        <w:t>18.4143</w:t>
      </w:r>
      <w:r>
        <w:rPr>
          <w:rFonts w:hint="eastAsia" w:ascii="仿宋" w:hAnsi="仿宋" w:eastAsia="仿宋" w:cs="仿宋"/>
          <w:bCs/>
          <w:color w:val="000000"/>
          <w:sz w:val="32"/>
          <w:szCs w:val="32"/>
        </w:rPr>
        <w:t>万元。</w:t>
      </w:r>
    </w:p>
    <w:p w14:paraId="3EE478F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黑体" w:cs="黑体"/>
          <w:bCs/>
          <w:color w:val="000000"/>
          <w:sz w:val="32"/>
          <w:szCs w:val="32"/>
        </w:rPr>
      </w:pPr>
      <w:r>
        <w:rPr>
          <w:rFonts w:hint="eastAsia" w:ascii="Times New Roman" w:hAnsi="Times New Roman" w:eastAsia="黑体" w:cs="黑体"/>
          <w:bCs/>
          <w:color w:val="000000"/>
          <w:sz w:val="32"/>
          <w:szCs w:val="32"/>
        </w:rPr>
        <w:t>五、征地补偿费用支付对象、支付方式和时间</w:t>
      </w:r>
    </w:p>
    <w:p w14:paraId="14B91B4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（一）补偿安置费用支付给被征地的农村集体经济组织。青苗补偿费、附着物补偿费支付给所有权人。</w:t>
      </w:r>
    </w:p>
    <w:p w14:paraId="409D995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（二）支付方式为转账、现金。社保费用缴入财政社保专户。</w:t>
      </w:r>
    </w:p>
    <w:p w14:paraId="1E05F6F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（三）补偿款兑付时间为土地征收公告期满之日起三个月内。</w:t>
      </w:r>
    </w:p>
    <w:p w14:paraId="7884FD2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253C677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32E391A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237D3D79">
      <w:pPr>
        <w:keepNext w:val="0"/>
        <w:keepLines w:val="0"/>
        <w:pageBreakBefore w:val="0"/>
        <w:widowControl w:val="0"/>
        <w:kinsoku/>
        <w:wordWrap w:val="0"/>
        <w:overflowPunct/>
        <w:topLinePunct w:val="0"/>
        <w:autoSpaceDE/>
        <w:autoSpaceDN/>
        <w:bidi w:val="0"/>
        <w:adjustRightInd/>
        <w:snapToGrid/>
        <w:spacing w:line="60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14:paraId="1C42DF2D">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宋体" w:cs="Times New Roman"/>
          <w:lang w:val="en-US" w:eastAsia="zh-CN"/>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7</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22</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54644482"/>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58FCFE">
    <w:pPr>
      <w:spacing w:line="439" w:lineRule="atLeast"/>
      <w:jc w:val="left"/>
      <w:rPr>
        <w:rFonts w:ascii="Times New Roman" w:hAnsi="Times New Roman" w:eastAsia="宋体" w:cs="Times New Roman"/>
      </w:rPr>
    </w:pPr>
    <w:r>
      <w:rPr>
        <w:rFonts w:ascii="Times New Roman" w:hAnsi="Times New Roman" w:eastAsia="宋体" w:cs="Times New Roman"/>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DD5F7BE">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4DD5F7BE">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9631DB">
    <w:pPr>
      <w:spacing w:line="439" w:lineRule="atLeast"/>
      <w:jc w:val="left"/>
      <w:rPr>
        <w:rFonts w:ascii="Times New Roman" w:hAnsi="Times New Roman" w:eastAsia="宋体"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mZDVhOTEwY2U0ZDg3YmEzZmVjM2E0Y2M4MjRiNmIifQ=="/>
  </w:docVars>
  <w:rsids>
    <w:rsidRoot w:val="7894110B"/>
    <w:rsid w:val="01FF72E3"/>
    <w:rsid w:val="0CA808BD"/>
    <w:rsid w:val="11BC6A6E"/>
    <w:rsid w:val="1C572E06"/>
    <w:rsid w:val="1DAE6F05"/>
    <w:rsid w:val="1DFF53E8"/>
    <w:rsid w:val="1F9E5906"/>
    <w:rsid w:val="241E71E1"/>
    <w:rsid w:val="28876522"/>
    <w:rsid w:val="2DB7600C"/>
    <w:rsid w:val="31A10649"/>
    <w:rsid w:val="369120C0"/>
    <w:rsid w:val="3BA50A45"/>
    <w:rsid w:val="3F291E25"/>
    <w:rsid w:val="49F946EB"/>
    <w:rsid w:val="4F5003FB"/>
    <w:rsid w:val="535B64DB"/>
    <w:rsid w:val="6CB8708C"/>
    <w:rsid w:val="6D122F1A"/>
    <w:rsid w:val="72140F04"/>
    <w:rsid w:val="7894110B"/>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Normal (Web)"/>
    <w:qFormat/>
    <w:uiPriority w:val="0"/>
    <w:pPr>
      <w:widowControl w:val="0"/>
      <w:spacing w:before="100" w:beforeAutospacing="1" w:after="100" w:afterAutospacing="1"/>
      <w:ind w:left="0" w:right="0"/>
      <w:jc w:val="left"/>
    </w:pPr>
    <w:rPr>
      <w:rFonts w:ascii="Times New Roman" w:hAnsi="Times New Roman"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2024-09-25T02:36:00Z</dcterms:created>
  <dc:creator>车走子</dc:creator>
  <cp:lastModifiedBy>车走子</cp:lastModifiedBy>
  <dcterms:modified xsi:type="dcterms:W3CDTF">2024-09-25T02:36:23Z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B52F1234B6874E69AE47E7614238B279_11</vt:lpwstr>
  </property>
</Properties>
</file>